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280B0" w14:textId="77777777" w:rsidR="007D084C" w:rsidRPr="007D1A67" w:rsidRDefault="007D084C">
      <w:pPr>
        <w:pStyle w:val="Heading1"/>
        <w:rPr>
          <w:rFonts w:ascii="Poppins" w:hAnsi="Poppins" w:cs="Poppins"/>
          <w:sz w:val="20"/>
          <w:szCs w:val="20"/>
        </w:rPr>
      </w:pPr>
    </w:p>
    <w:p w14:paraId="7DEF1F5F" w14:textId="77777777" w:rsidR="00145ECF" w:rsidRPr="007D1A67" w:rsidRDefault="00145ECF" w:rsidP="00145ECF">
      <w:pPr>
        <w:rPr>
          <w:rFonts w:ascii="Poppins" w:hAnsi="Poppins" w:cs="Poppins"/>
          <w:sz w:val="20"/>
          <w:szCs w:val="20"/>
        </w:rPr>
      </w:pPr>
    </w:p>
    <w:p w14:paraId="39637182" w14:textId="284B00A1" w:rsidR="00A14FD7" w:rsidRPr="007D1A67" w:rsidRDefault="000F7B76" w:rsidP="72E5FC09">
      <w:pPr>
        <w:pStyle w:val="Title"/>
        <w:pBdr>
          <w:bottom w:val="single" w:sz="8" w:space="1" w:color="B48F49"/>
        </w:pBdr>
        <w:spacing w:after="80"/>
        <w:jc w:val="center"/>
        <w:rPr>
          <w:rFonts w:ascii="Poppins" w:hAnsi="Poppins" w:cs="Poppins"/>
          <w:b/>
          <w:bCs/>
          <w:color w:val="auto"/>
          <w:sz w:val="28"/>
          <w:szCs w:val="28"/>
          <w:lang w:val="en-AU"/>
        </w:rPr>
      </w:pPr>
      <w:r w:rsidRPr="007D1A67">
        <w:rPr>
          <w:rFonts w:ascii="Poppins" w:hAnsi="Poppins" w:cs="Poppins"/>
          <w:b/>
          <w:color w:val="auto"/>
          <w:spacing w:val="-10"/>
          <w:sz w:val="28"/>
          <w:szCs w:val="28"/>
          <w:lang w:val="en-AU"/>
          <w14:ligatures w14:val="standardContextual"/>
        </w:rPr>
        <w:t>Job Description</w:t>
      </w:r>
    </w:p>
    <w:p w14:paraId="09966B7A" w14:textId="628708F7" w:rsidR="00A14FD7" w:rsidRPr="007D1A67" w:rsidRDefault="000F7B76" w:rsidP="007D084C">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7D1A67">
        <w:rPr>
          <w:rFonts w:ascii="Poppins" w:hAnsi="Poppins" w:cs="Poppins"/>
          <w:b/>
          <w:color w:val="auto"/>
          <w:spacing w:val="-10"/>
          <w:sz w:val="28"/>
          <w:szCs w:val="28"/>
          <w:lang w:val="en-AU"/>
          <w14:ligatures w14:val="standardContextual"/>
        </w:rPr>
        <w:t>Head of Corporate and Administration</w:t>
      </w:r>
    </w:p>
    <w:p w14:paraId="1002DDCC" w14:textId="77777777" w:rsidR="00145ECF" w:rsidRPr="007D1A67" w:rsidRDefault="00145ECF">
      <w:pPr>
        <w:rPr>
          <w:rFonts w:ascii="Poppins" w:eastAsiaTheme="minorHAnsi" w:hAnsi="Poppins" w:cs="Poppins"/>
          <w:b/>
          <w:bCs/>
          <w:kern w:val="2"/>
          <w:sz w:val="20"/>
          <w:szCs w:val="20"/>
          <w:lang w:val="en-AU"/>
          <w14:ligatures w14:val="standardContextual"/>
        </w:rPr>
      </w:pPr>
    </w:p>
    <w:p w14:paraId="5DE17CE9" w14:textId="1353C6EB" w:rsidR="00A14FD7" w:rsidRPr="007D1A67" w:rsidRDefault="000F7B76">
      <w:pPr>
        <w:rPr>
          <w:rFonts w:ascii="Poppins" w:hAnsi="Poppins" w:cs="Poppins"/>
          <w:sz w:val="20"/>
          <w:szCs w:val="20"/>
        </w:rPr>
      </w:pPr>
      <w:r w:rsidRPr="007D1A67">
        <w:rPr>
          <w:rFonts w:ascii="Poppins" w:eastAsiaTheme="minorHAnsi" w:hAnsi="Poppins" w:cs="Poppins"/>
          <w:b/>
          <w:bCs/>
          <w:color w:val="B48F49"/>
          <w:kern w:val="2"/>
          <w:sz w:val="20"/>
          <w:szCs w:val="20"/>
          <w:lang w:val="en-AU"/>
          <w14:ligatures w14:val="standardContextual"/>
        </w:rPr>
        <w:t>Document Control</w:t>
      </w:r>
      <w:r w:rsidRPr="007D1A67">
        <w:rPr>
          <w:rFonts w:ascii="Poppins" w:eastAsiaTheme="minorHAnsi" w:hAnsi="Poppins" w:cs="Poppins"/>
          <w:b/>
          <w:bCs/>
          <w:color w:val="B48F49"/>
          <w:kern w:val="2"/>
          <w:sz w:val="20"/>
          <w:szCs w:val="20"/>
          <w:lang w:val="en-AU"/>
          <w14:ligatures w14:val="standardContextual"/>
        </w:rPr>
        <w:br/>
      </w:r>
      <w:r w:rsidRPr="007D1A67">
        <w:rPr>
          <w:rFonts w:ascii="Poppins" w:eastAsiaTheme="minorHAnsi" w:hAnsi="Poppins" w:cs="Poppins"/>
          <w:b/>
          <w:bCs/>
          <w:kern w:val="2"/>
          <w:sz w:val="20"/>
          <w:szCs w:val="20"/>
          <w:lang w:val="en-AU"/>
          <w14:ligatures w14:val="standardContextual"/>
        </w:rPr>
        <w:t>Position Title</w:t>
      </w:r>
      <w:r w:rsidRPr="007D1A67">
        <w:rPr>
          <w:rFonts w:ascii="Poppins" w:hAnsi="Poppins" w:cs="Poppins"/>
          <w:sz w:val="20"/>
          <w:szCs w:val="20"/>
        </w:rPr>
        <w:t xml:space="preserve">: </w:t>
      </w:r>
      <w:r w:rsidRPr="007D1A67">
        <w:rPr>
          <w:rFonts w:ascii="Poppins" w:eastAsiaTheme="minorHAnsi" w:hAnsi="Poppins" w:cs="Poppins"/>
          <w:kern w:val="2"/>
          <w:sz w:val="20"/>
          <w:szCs w:val="20"/>
          <w:lang w:val="en-AU"/>
          <w14:ligatures w14:val="standardContextual"/>
        </w:rPr>
        <w:t>Head of Corporate and Administration</w:t>
      </w:r>
      <w:r w:rsidRPr="007D1A67">
        <w:rPr>
          <w:rFonts w:ascii="Poppins" w:eastAsiaTheme="minorHAnsi" w:hAnsi="Poppins" w:cs="Poppins"/>
          <w:kern w:val="2"/>
          <w:sz w:val="20"/>
          <w:szCs w:val="20"/>
          <w:lang w:val="en-AU"/>
          <w14:ligatures w14:val="standardContextual"/>
        </w:rPr>
        <w:br/>
      </w:r>
      <w:r w:rsidRPr="007D1A67">
        <w:rPr>
          <w:rFonts w:ascii="Poppins" w:eastAsiaTheme="minorHAnsi" w:hAnsi="Poppins" w:cs="Poppins"/>
          <w:b/>
          <w:bCs/>
          <w:kern w:val="2"/>
          <w:sz w:val="20"/>
          <w:szCs w:val="20"/>
          <w:lang w:val="en-AU"/>
          <w14:ligatures w14:val="standardContextual"/>
        </w:rPr>
        <w:t>Department</w:t>
      </w:r>
      <w:r w:rsidRPr="007D1A67">
        <w:rPr>
          <w:rFonts w:ascii="Poppins" w:hAnsi="Poppins" w:cs="Poppins"/>
          <w:sz w:val="20"/>
          <w:szCs w:val="20"/>
        </w:rPr>
        <w:t>: Corporate and Administration</w:t>
      </w:r>
      <w:r w:rsidRPr="007D1A67">
        <w:rPr>
          <w:rFonts w:ascii="Poppins" w:hAnsi="Poppins" w:cs="Poppins"/>
          <w:sz w:val="20"/>
          <w:szCs w:val="20"/>
        </w:rPr>
        <w:br/>
      </w:r>
      <w:r w:rsidRPr="007D1A67">
        <w:rPr>
          <w:rFonts w:ascii="Poppins" w:eastAsiaTheme="minorHAnsi" w:hAnsi="Poppins" w:cs="Poppins"/>
          <w:b/>
          <w:bCs/>
          <w:kern w:val="2"/>
          <w:sz w:val="20"/>
          <w:szCs w:val="20"/>
          <w:lang w:val="en-AU"/>
          <w14:ligatures w14:val="standardContextual"/>
        </w:rPr>
        <w:t>Reports To:</w:t>
      </w:r>
      <w:r w:rsidRPr="007D1A67">
        <w:rPr>
          <w:rFonts w:ascii="Poppins" w:hAnsi="Poppins" w:cs="Poppins"/>
          <w:sz w:val="20"/>
          <w:szCs w:val="20"/>
        </w:rPr>
        <w:t xml:space="preserve"> Chief Operating Officer (COO)</w:t>
      </w:r>
      <w:r w:rsidRPr="007D1A67">
        <w:rPr>
          <w:rFonts w:ascii="Poppins" w:hAnsi="Poppins" w:cs="Poppins"/>
          <w:sz w:val="20"/>
          <w:szCs w:val="20"/>
        </w:rPr>
        <w:br/>
      </w:r>
      <w:r w:rsidRPr="007D1A67">
        <w:rPr>
          <w:rFonts w:ascii="Poppins" w:eastAsiaTheme="minorHAnsi" w:hAnsi="Poppins" w:cs="Poppins"/>
          <w:b/>
          <w:bCs/>
          <w:kern w:val="2"/>
          <w:sz w:val="20"/>
          <w:szCs w:val="20"/>
          <w:lang w:val="en-AU"/>
          <w14:ligatures w14:val="standardContextual"/>
        </w:rPr>
        <w:t>Version</w:t>
      </w:r>
      <w:r w:rsidRPr="007D1A67">
        <w:rPr>
          <w:rFonts w:ascii="Poppins" w:hAnsi="Poppins" w:cs="Poppins"/>
          <w:sz w:val="20"/>
          <w:szCs w:val="20"/>
        </w:rPr>
        <w:t>: 1.0</w:t>
      </w:r>
    </w:p>
    <w:p w14:paraId="4B70BF8A" w14:textId="77777777" w:rsidR="00A14FD7" w:rsidRPr="007D1A67" w:rsidRDefault="000F7B76" w:rsidP="007D084C">
      <w:pPr>
        <w:spacing w:after="0" w:line="240" w:lineRule="auto"/>
        <w:rPr>
          <w:rFonts w:ascii="Poppins" w:eastAsiaTheme="minorHAnsi" w:hAnsi="Poppins" w:cs="Poppins"/>
          <w:b/>
          <w:bCs/>
          <w:color w:val="B48F49"/>
          <w:kern w:val="2"/>
          <w:sz w:val="20"/>
          <w:szCs w:val="20"/>
          <w:lang w:val="en-AU"/>
          <w14:ligatures w14:val="standardContextual"/>
        </w:rPr>
      </w:pPr>
      <w:r w:rsidRPr="007D1A67">
        <w:rPr>
          <w:rFonts w:ascii="Poppins" w:eastAsiaTheme="minorHAnsi" w:hAnsi="Poppins" w:cs="Poppins"/>
          <w:b/>
          <w:bCs/>
          <w:color w:val="B48F49"/>
          <w:kern w:val="2"/>
          <w:sz w:val="20"/>
          <w:szCs w:val="20"/>
          <w:lang w:val="en-AU"/>
          <w14:ligatures w14:val="standardContextual"/>
        </w:rPr>
        <w:t>Job Overview</w:t>
      </w:r>
    </w:p>
    <w:p w14:paraId="60F34081" w14:textId="77777777" w:rsidR="00A14FD7" w:rsidRPr="007D1A67" w:rsidRDefault="000F7B76">
      <w:pPr>
        <w:rPr>
          <w:rFonts w:ascii="Poppins" w:hAnsi="Poppins" w:cs="Poppins"/>
          <w:sz w:val="20"/>
          <w:szCs w:val="20"/>
        </w:rPr>
      </w:pPr>
      <w:r w:rsidRPr="007D1A67">
        <w:rPr>
          <w:rFonts w:ascii="Poppins" w:hAnsi="Poppins" w:cs="Poppins"/>
          <w:sz w:val="20"/>
          <w:szCs w:val="20"/>
        </w:rPr>
        <w:t>The Head of Corporate and Administration oversees the coordination and efficiency of all corporate services and administrative functions within Grand Royale Group. This role ensures that the organisation’s operations, communications, and documentation processes run smoothly and effectively. The position plays a vital role in maintaining corporate governance, executive support, and administrative excellence across all business units.</w:t>
      </w:r>
    </w:p>
    <w:p w14:paraId="6E48AD26" w14:textId="77777777" w:rsidR="00A14FD7" w:rsidRPr="007D1A67" w:rsidRDefault="000F7B76" w:rsidP="007D084C">
      <w:pPr>
        <w:spacing w:after="0" w:line="240" w:lineRule="auto"/>
        <w:rPr>
          <w:rFonts w:ascii="Poppins" w:eastAsiaTheme="minorHAnsi" w:hAnsi="Poppins" w:cs="Poppins"/>
          <w:b/>
          <w:bCs/>
          <w:color w:val="B48F49"/>
          <w:kern w:val="2"/>
          <w:sz w:val="20"/>
          <w:szCs w:val="20"/>
          <w:lang w:val="en-AU"/>
          <w14:ligatures w14:val="standardContextual"/>
        </w:rPr>
      </w:pPr>
      <w:r w:rsidRPr="007D1A67">
        <w:rPr>
          <w:rFonts w:ascii="Poppins" w:eastAsiaTheme="minorHAnsi" w:hAnsi="Poppins" w:cs="Poppins"/>
          <w:b/>
          <w:bCs/>
          <w:color w:val="B48F49"/>
          <w:kern w:val="2"/>
          <w:sz w:val="20"/>
          <w:szCs w:val="20"/>
          <w:lang w:val="en-AU"/>
          <w14:ligatures w14:val="standardContextual"/>
        </w:rPr>
        <w:t>Key Responsibilities</w:t>
      </w:r>
    </w:p>
    <w:p w14:paraId="049A897A" w14:textId="1105A453" w:rsidR="00717E61" w:rsidRPr="007D1A67" w:rsidRDefault="00717E61" w:rsidP="00B3305E">
      <w:pPr>
        <w:spacing w:after="0"/>
        <w:rPr>
          <w:rFonts w:ascii="Poppins" w:hAnsi="Poppins" w:cs="Poppins"/>
          <w:b/>
          <w:bCs/>
          <w:sz w:val="20"/>
          <w:szCs w:val="20"/>
        </w:rPr>
      </w:pPr>
      <w:r w:rsidRPr="007D1A67">
        <w:rPr>
          <w:rFonts w:ascii="Poppins" w:hAnsi="Poppins" w:cs="Poppins"/>
          <w:b/>
          <w:bCs/>
          <w:sz w:val="20"/>
          <w:szCs w:val="20"/>
        </w:rPr>
        <w:t>Operational Leadership</w:t>
      </w:r>
    </w:p>
    <w:p w14:paraId="0BF5FF80" w14:textId="77777777" w:rsidR="00717E61" w:rsidRPr="007D1A67" w:rsidRDefault="000F7B76" w:rsidP="00B3305E">
      <w:pPr>
        <w:pStyle w:val="ListParagraph"/>
        <w:numPr>
          <w:ilvl w:val="0"/>
          <w:numId w:val="12"/>
        </w:numPr>
        <w:spacing w:after="0"/>
        <w:rPr>
          <w:rFonts w:ascii="Poppins" w:hAnsi="Poppins" w:cs="Poppins"/>
          <w:sz w:val="20"/>
          <w:szCs w:val="20"/>
        </w:rPr>
      </w:pPr>
      <w:r w:rsidRPr="007D1A67">
        <w:rPr>
          <w:rFonts w:ascii="Poppins" w:hAnsi="Poppins" w:cs="Poppins"/>
          <w:sz w:val="20"/>
          <w:szCs w:val="20"/>
        </w:rPr>
        <w:t>Oversee the management of corporate services, records, and administrative systems.</w:t>
      </w:r>
    </w:p>
    <w:p w14:paraId="0A11C4EA" w14:textId="77777777" w:rsidR="00717E61" w:rsidRPr="007D1A67" w:rsidRDefault="000F7B76" w:rsidP="00B3305E">
      <w:pPr>
        <w:pStyle w:val="ListParagraph"/>
        <w:numPr>
          <w:ilvl w:val="0"/>
          <w:numId w:val="12"/>
        </w:numPr>
        <w:spacing w:after="0"/>
        <w:rPr>
          <w:rFonts w:ascii="Poppins" w:hAnsi="Poppins" w:cs="Poppins"/>
          <w:sz w:val="20"/>
          <w:szCs w:val="20"/>
        </w:rPr>
      </w:pPr>
      <w:r w:rsidRPr="007D1A67">
        <w:rPr>
          <w:rFonts w:ascii="Poppins" w:hAnsi="Poppins" w:cs="Poppins"/>
          <w:sz w:val="20"/>
          <w:szCs w:val="20"/>
        </w:rPr>
        <w:t>Ensure effective communication and coordination between departments.</w:t>
      </w:r>
    </w:p>
    <w:p w14:paraId="45BB2B43" w14:textId="38778CB2" w:rsidR="00717E61" w:rsidRPr="007D1A67" w:rsidRDefault="000F7B76" w:rsidP="00B3305E">
      <w:pPr>
        <w:pStyle w:val="ListParagraph"/>
        <w:numPr>
          <w:ilvl w:val="0"/>
          <w:numId w:val="12"/>
        </w:numPr>
        <w:spacing w:after="0"/>
        <w:rPr>
          <w:rFonts w:ascii="Poppins" w:hAnsi="Poppins" w:cs="Poppins"/>
          <w:sz w:val="20"/>
          <w:szCs w:val="20"/>
        </w:rPr>
      </w:pPr>
      <w:r w:rsidRPr="007D1A67">
        <w:rPr>
          <w:rFonts w:ascii="Poppins" w:hAnsi="Poppins" w:cs="Poppins"/>
          <w:sz w:val="20"/>
          <w:szCs w:val="20"/>
        </w:rPr>
        <w:t>Manage document control, company registers, and filing systems in line with legal requirements.</w:t>
      </w:r>
    </w:p>
    <w:p w14:paraId="187D4488" w14:textId="489200C4" w:rsidR="00B3305E" w:rsidRPr="007D1A67" w:rsidRDefault="000F7B76" w:rsidP="00B3305E">
      <w:pPr>
        <w:pStyle w:val="ListParagraph"/>
        <w:numPr>
          <w:ilvl w:val="0"/>
          <w:numId w:val="12"/>
        </w:numPr>
        <w:spacing w:after="0"/>
        <w:rPr>
          <w:rFonts w:ascii="Poppins" w:hAnsi="Poppins" w:cs="Poppins"/>
          <w:sz w:val="20"/>
          <w:szCs w:val="20"/>
        </w:rPr>
      </w:pPr>
      <w:r w:rsidRPr="007D1A67">
        <w:rPr>
          <w:rFonts w:ascii="Poppins" w:hAnsi="Poppins" w:cs="Poppins"/>
          <w:sz w:val="20"/>
          <w:szCs w:val="20"/>
        </w:rPr>
        <w:t>Support the implementation of company-wide policies and standard operating procedures.</w:t>
      </w:r>
    </w:p>
    <w:p w14:paraId="0C1B6FB2" w14:textId="77777777" w:rsidR="00145ECF" w:rsidRPr="007D1A67" w:rsidRDefault="00145ECF" w:rsidP="00B3305E">
      <w:pPr>
        <w:spacing w:after="0"/>
        <w:rPr>
          <w:rFonts w:ascii="Poppins" w:hAnsi="Poppins" w:cs="Poppins"/>
          <w:b/>
          <w:bCs/>
          <w:sz w:val="20"/>
          <w:szCs w:val="20"/>
        </w:rPr>
      </w:pPr>
    </w:p>
    <w:p w14:paraId="362A5A7B" w14:textId="599389D4" w:rsidR="00B3305E" w:rsidRPr="007D1A67" w:rsidRDefault="000F7B76" w:rsidP="00B3305E">
      <w:pPr>
        <w:spacing w:after="0"/>
        <w:rPr>
          <w:rFonts w:ascii="Poppins" w:hAnsi="Poppins" w:cs="Poppins"/>
          <w:b/>
          <w:bCs/>
          <w:sz w:val="20"/>
          <w:szCs w:val="20"/>
        </w:rPr>
      </w:pPr>
      <w:r w:rsidRPr="007D1A67">
        <w:rPr>
          <w:rFonts w:ascii="Poppins" w:hAnsi="Poppins" w:cs="Poppins"/>
          <w:b/>
          <w:bCs/>
          <w:sz w:val="20"/>
          <w:szCs w:val="20"/>
        </w:rPr>
        <w:t>Executive Support &amp; Governance</w:t>
      </w:r>
    </w:p>
    <w:p w14:paraId="3542E4A6" w14:textId="77777777" w:rsidR="00B3305E" w:rsidRPr="007D1A67" w:rsidRDefault="000F7B76" w:rsidP="00B3305E">
      <w:pPr>
        <w:pStyle w:val="ListParagraph"/>
        <w:numPr>
          <w:ilvl w:val="1"/>
          <w:numId w:val="13"/>
        </w:numPr>
        <w:spacing w:after="0"/>
        <w:rPr>
          <w:rFonts w:ascii="Poppins" w:hAnsi="Poppins" w:cs="Poppins"/>
          <w:b/>
          <w:bCs/>
          <w:sz w:val="20"/>
          <w:szCs w:val="20"/>
        </w:rPr>
      </w:pPr>
      <w:r w:rsidRPr="007D1A67">
        <w:rPr>
          <w:rFonts w:ascii="Poppins" w:hAnsi="Poppins" w:cs="Poppins"/>
          <w:sz w:val="20"/>
          <w:szCs w:val="20"/>
        </w:rPr>
        <w:t>Provide executive-level support to the CEO and senior management.</w:t>
      </w:r>
    </w:p>
    <w:p w14:paraId="3FCB17BF" w14:textId="77777777" w:rsidR="00B3305E" w:rsidRPr="007D1A67" w:rsidRDefault="000F7B76" w:rsidP="00B3305E">
      <w:pPr>
        <w:pStyle w:val="ListParagraph"/>
        <w:numPr>
          <w:ilvl w:val="1"/>
          <w:numId w:val="13"/>
        </w:numPr>
        <w:spacing w:after="0"/>
        <w:rPr>
          <w:rFonts w:ascii="Poppins" w:hAnsi="Poppins" w:cs="Poppins"/>
          <w:b/>
          <w:bCs/>
          <w:sz w:val="20"/>
          <w:szCs w:val="20"/>
        </w:rPr>
      </w:pPr>
      <w:r w:rsidRPr="007D1A67">
        <w:rPr>
          <w:rFonts w:ascii="Poppins" w:hAnsi="Poppins" w:cs="Poppins"/>
          <w:sz w:val="20"/>
          <w:szCs w:val="20"/>
        </w:rPr>
        <w:t>Coordinate board and management meetings, including preparation of minutes and reports.</w:t>
      </w:r>
    </w:p>
    <w:p w14:paraId="4FCFDBFA" w14:textId="77777777" w:rsidR="00B3305E" w:rsidRPr="007D1A67" w:rsidRDefault="000F7B76" w:rsidP="00B3305E">
      <w:pPr>
        <w:pStyle w:val="ListParagraph"/>
        <w:numPr>
          <w:ilvl w:val="1"/>
          <w:numId w:val="13"/>
        </w:numPr>
        <w:spacing w:after="0"/>
        <w:rPr>
          <w:rFonts w:ascii="Poppins" w:hAnsi="Poppins" w:cs="Poppins"/>
          <w:b/>
          <w:bCs/>
          <w:sz w:val="20"/>
          <w:szCs w:val="20"/>
        </w:rPr>
      </w:pPr>
      <w:r w:rsidRPr="007D1A67">
        <w:rPr>
          <w:rFonts w:ascii="Poppins" w:hAnsi="Poppins" w:cs="Poppins"/>
          <w:sz w:val="20"/>
          <w:szCs w:val="20"/>
        </w:rPr>
        <w:t xml:space="preserve"> Ensure corporate compliance with ASIC, Fair Work, and WHS regulations.</w:t>
      </w:r>
    </w:p>
    <w:p w14:paraId="65DF2A59" w14:textId="613BD7BA" w:rsidR="00A14FD7" w:rsidRPr="007D1A67" w:rsidRDefault="000F7B76" w:rsidP="00B3305E">
      <w:pPr>
        <w:pStyle w:val="ListParagraph"/>
        <w:numPr>
          <w:ilvl w:val="1"/>
          <w:numId w:val="13"/>
        </w:numPr>
        <w:spacing w:after="0"/>
        <w:rPr>
          <w:rFonts w:ascii="Poppins" w:hAnsi="Poppins" w:cs="Poppins"/>
          <w:b/>
          <w:bCs/>
          <w:sz w:val="20"/>
          <w:szCs w:val="20"/>
        </w:rPr>
      </w:pPr>
      <w:r w:rsidRPr="007D1A67">
        <w:rPr>
          <w:rFonts w:ascii="Poppins" w:hAnsi="Poppins" w:cs="Poppins"/>
          <w:sz w:val="20"/>
          <w:szCs w:val="20"/>
        </w:rPr>
        <w:t xml:space="preserve"> Support the preparation of annual reports, strategic documents, and internal communications.</w:t>
      </w:r>
    </w:p>
    <w:p w14:paraId="00390A57" w14:textId="77777777" w:rsidR="00A915A2" w:rsidRDefault="00A915A2">
      <w:pPr>
        <w:rPr>
          <w:rFonts w:ascii="Poppins" w:hAnsi="Poppins" w:cs="Poppins"/>
          <w:b/>
          <w:bCs/>
          <w:sz w:val="20"/>
          <w:szCs w:val="20"/>
        </w:rPr>
      </w:pPr>
      <w:r>
        <w:rPr>
          <w:rFonts w:ascii="Poppins" w:hAnsi="Poppins" w:cs="Poppins"/>
          <w:b/>
          <w:bCs/>
          <w:sz w:val="20"/>
          <w:szCs w:val="20"/>
        </w:rPr>
        <w:br w:type="page"/>
      </w:r>
    </w:p>
    <w:p w14:paraId="6494A114" w14:textId="77777777" w:rsidR="00A915A2" w:rsidRDefault="00A915A2" w:rsidP="00B3305E">
      <w:pPr>
        <w:spacing w:after="0"/>
        <w:rPr>
          <w:rFonts w:ascii="Poppins" w:hAnsi="Poppins" w:cs="Poppins"/>
          <w:b/>
          <w:bCs/>
          <w:sz w:val="20"/>
          <w:szCs w:val="20"/>
        </w:rPr>
      </w:pPr>
    </w:p>
    <w:p w14:paraId="1FB177CA" w14:textId="77777777" w:rsidR="00A915A2" w:rsidRDefault="00A915A2" w:rsidP="00B3305E">
      <w:pPr>
        <w:spacing w:after="0"/>
        <w:rPr>
          <w:rFonts w:ascii="Poppins" w:hAnsi="Poppins" w:cs="Poppins"/>
          <w:b/>
          <w:bCs/>
          <w:sz w:val="20"/>
          <w:szCs w:val="20"/>
        </w:rPr>
      </w:pPr>
    </w:p>
    <w:p w14:paraId="0CBF7A18" w14:textId="77777777" w:rsidR="00A915A2" w:rsidRDefault="00A915A2" w:rsidP="00B3305E">
      <w:pPr>
        <w:spacing w:after="0"/>
        <w:rPr>
          <w:rFonts w:ascii="Poppins" w:hAnsi="Poppins" w:cs="Poppins"/>
          <w:b/>
          <w:bCs/>
          <w:sz w:val="20"/>
          <w:szCs w:val="20"/>
        </w:rPr>
      </w:pPr>
    </w:p>
    <w:p w14:paraId="4265A22E" w14:textId="77777777" w:rsidR="00A915A2" w:rsidRDefault="00A915A2" w:rsidP="00B3305E">
      <w:pPr>
        <w:spacing w:after="0"/>
        <w:rPr>
          <w:rFonts w:ascii="Poppins" w:hAnsi="Poppins" w:cs="Poppins"/>
          <w:b/>
          <w:bCs/>
          <w:sz w:val="20"/>
          <w:szCs w:val="20"/>
        </w:rPr>
      </w:pPr>
    </w:p>
    <w:p w14:paraId="4758899C" w14:textId="77777777" w:rsidR="00A14FD7" w:rsidRPr="007D1A67" w:rsidRDefault="000F7B76" w:rsidP="00B3305E">
      <w:pPr>
        <w:spacing w:after="0"/>
        <w:rPr>
          <w:rFonts w:ascii="Poppins" w:hAnsi="Poppins" w:cs="Poppins"/>
          <w:b/>
          <w:bCs/>
          <w:sz w:val="20"/>
          <w:szCs w:val="20"/>
        </w:rPr>
      </w:pPr>
      <w:r w:rsidRPr="007D1A67">
        <w:rPr>
          <w:rFonts w:ascii="Poppins" w:hAnsi="Poppins" w:cs="Poppins"/>
          <w:b/>
          <w:bCs/>
          <w:sz w:val="20"/>
          <w:szCs w:val="20"/>
        </w:rPr>
        <w:t>Operational Efficiency &amp; Process Improvement</w:t>
      </w:r>
    </w:p>
    <w:p w14:paraId="5232CB7B" w14:textId="77777777" w:rsidR="00B3305E" w:rsidRPr="007D1A67" w:rsidRDefault="000F7B76" w:rsidP="00B3305E">
      <w:pPr>
        <w:pStyle w:val="ListParagraph"/>
        <w:numPr>
          <w:ilvl w:val="1"/>
          <w:numId w:val="14"/>
        </w:numPr>
        <w:spacing w:after="0"/>
        <w:rPr>
          <w:rFonts w:ascii="Poppins" w:hAnsi="Poppins" w:cs="Poppins"/>
          <w:sz w:val="20"/>
          <w:szCs w:val="20"/>
        </w:rPr>
      </w:pPr>
      <w:r w:rsidRPr="007D1A67">
        <w:rPr>
          <w:rFonts w:ascii="Poppins" w:hAnsi="Poppins" w:cs="Poppins"/>
          <w:sz w:val="20"/>
          <w:szCs w:val="20"/>
        </w:rPr>
        <w:t>Develop and implement administrative systems that improve efficiency.</w:t>
      </w:r>
    </w:p>
    <w:p w14:paraId="6EFCB2BE" w14:textId="77777777" w:rsidR="00B3305E" w:rsidRPr="007D1A67" w:rsidRDefault="000F7B76" w:rsidP="00B3305E">
      <w:pPr>
        <w:pStyle w:val="ListParagraph"/>
        <w:numPr>
          <w:ilvl w:val="1"/>
          <w:numId w:val="14"/>
        </w:numPr>
        <w:spacing w:after="0"/>
        <w:rPr>
          <w:rFonts w:ascii="Poppins" w:hAnsi="Poppins" w:cs="Poppins"/>
          <w:sz w:val="20"/>
          <w:szCs w:val="20"/>
        </w:rPr>
      </w:pPr>
      <w:r w:rsidRPr="007D1A67">
        <w:rPr>
          <w:rFonts w:ascii="Poppins" w:hAnsi="Poppins" w:cs="Poppins"/>
          <w:sz w:val="20"/>
          <w:szCs w:val="20"/>
        </w:rPr>
        <w:t xml:space="preserve"> Oversee office management, procurement, and facilities coordination.</w:t>
      </w:r>
    </w:p>
    <w:p w14:paraId="0AA07885" w14:textId="77777777" w:rsidR="00B3305E" w:rsidRPr="007D1A67" w:rsidRDefault="000F7B76" w:rsidP="00B3305E">
      <w:pPr>
        <w:pStyle w:val="ListParagraph"/>
        <w:numPr>
          <w:ilvl w:val="1"/>
          <w:numId w:val="14"/>
        </w:numPr>
        <w:spacing w:after="0"/>
        <w:rPr>
          <w:rFonts w:ascii="Poppins" w:hAnsi="Poppins" w:cs="Poppins"/>
          <w:sz w:val="20"/>
          <w:szCs w:val="20"/>
        </w:rPr>
      </w:pPr>
      <w:r w:rsidRPr="007D1A67">
        <w:rPr>
          <w:rFonts w:ascii="Poppins" w:hAnsi="Poppins" w:cs="Poppins"/>
          <w:sz w:val="20"/>
          <w:szCs w:val="20"/>
        </w:rPr>
        <w:t xml:space="preserve"> Support internal audits and contribute to quality management processes.</w:t>
      </w:r>
    </w:p>
    <w:p w14:paraId="4E32C29E" w14:textId="16926E5C" w:rsidR="00A14FD7" w:rsidRPr="007D1A67" w:rsidRDefault="000F7B76" w:rsidP="00B3305E">
      <w:pPr>
        <w:pStyle w:val="ListParagraph"/>
        <w:numPr>
          <w:ilvl w:val="1"/>
          <w:numId w:val="14"/>
        </w:numPr>
        <w:spacing w:after="0"/>
        <w:rPr>
          <w:rFonts w:ascii="Poppins" w:hAnsi="Poppins" w:cs="Poppins"/>
          <w:sz w:val="20"/>
          <w:szCs w:val="20"/>
        </w:rPr>
      </w:pPr>
      <w:r w:rsidRPr="007D1A67">
        <w:rPr>
          <w:rFonts w:ascii="Poppins" w:hAnsi="Poppins" w:cs="Poppins"/>
          <w:sz w:val="20"/>
          <w:szCs w:val="20"/>
        </w:rPr>
        <w:t xml:space="preserve"> Identify opportunities for cost-saving and resource optimisation.</w:t>
      </w:r>
    </w:p>
    <w:p w14:paraId="168F2445" w14:textId="77777777" w:rsidR="00A14FD7" w:rsidRPr="007D1A67" w:rsidRDefault="000F7B76" w:rsidP="00B3305E">
      <w:pPr>
        <w:spacing w:after="0"/>
        <w:rPr>
          <w:rFonts w:ascii="Poppins" w:hAnsi="Poppins" w:cs="Poppins"/>
          <w:b/>
          <w:bCs/>
          <w:sz w:val="20"/>
          <w:szCs w:val="20"/>
        </w:rPr>
      </w:pPr>
      <w:r w:rsidRPr="007D1A67">
        <w:rPr>
          <w:rFonts w:ascii="Poppins" w:hAnsi="Poppins" w:cs="Poppins"/>
          <w:b/>
          <w:bCs/>
          <w:sz w:val="20"/>
          <w:szCs w:val="20"/>
        </w:rPr>
        <w:t>Leadership &amp; Team Development</w:t>
      </w:r>
    </w:p>
    <w:p w14:paraId="70643641" w14:textId="77777777" w:rsidR="00B3305E" w:rsidRPr="007D1A67" w:rsidRDefault="000F7B76" w:rsidP="00B3305E">
      <w:pPr>
        <w:pStyle w:val="ListParagraph"/>
        <w:numPr>
          <w:ilvl w:val="0"/>
          <w:numId w:val="15"/>
        </w:numPr>
        <w:rPr>
          <w:rFonts w:ascii="Poppins" w:hAnsi="Poppins" w:cs="Poppins"/>
          <w:sz w:val="20"/>
          <w:szCs w:val="20"/>
        </w:rPr>
      </w:pPr>
      <w:r w:rsidRPr="007D1A67">
        <w:rPr>
          <w:rFonts w:ascii="Poppins" w:hAnsi="Poppins" w:cs="Poppins"/>
          <w:sz w:val="20"/>
          <w:szCs w:val="20"/>
        </w:rPr>
        <w:t>Lead and mentor administrative staff across business units.</w:t>
      </w:r>
    </w:p>
    <w:p w14:paraId="210AB692" w14:textId="77777777" w:rsidR="00B3305E" w:rsidRPr="007D1A67" w:rsidRDefault="000F7B76" w:rsidP="00B3305E">
      <w:pPr>
        <w:pStyle w:val="ListParagraph"/>
        <w:numPr>
          <w:ilvl w:val="0"/>
          <w:numId w:val="15"/>
        </w:numPr>
        <w:rPr>
          <w:rFonts w:ascii="Poppins" w:hAnsi="Poppins" w:cs="Poppins"/>
          <w:sz w:val="20"/>
          <w:szCs w:val="20"/>
        </w:rPr>
      </w:pPr>
      <w:r w:rsidRPr="007D1A67">
        <w:rPr>
          <w:rFonts w:ascii="Poppins" w:hAnsi="Poppins" w:cs="Poppins"/>
          <w:sz w:val="20"/>
          <w:szCs w:val="20"/>
        </w:rPr>
        <w:t>Ensure consistent performance standards and professional development.</w:t>
      </w:r>
    </w:p>
    <w:p w14:paraId="6DBFC302" w14:textId="77777777" w:rsidR="00B3305E" w:rsidRPr="007D1A67" w:rsidRDefault="000F7B76" w:rsidP="00B3305E">
      <w:pPr>
        <w:pStyle w:val="ListParagraph"/>
        <w:numPr>
          <w:ilvl w:val="0"/>
          <w:numId w:val="15"/>
        </w:numPr>
        <w:rPr>
          <w:rFonts w:ascii="Poppins" w:hAnsi="Poppins" w:cs="Poppins"/>
          <w:sz w:val="20"/>
          <w:szCs w:val="20"/>
        </w:rPr>
      </w:pPr>
      <w:r w:rsidRPr="007D1A67">
        <w:rPr>
          <w:rFonts w:ascii="Poppins" w:hAnsi="Poppins" w:cs="Poppins"/>
          <w:sz w:val="20"/>
          <w:szCs w:val="20"/>
        </w:rPr>
        <w:t xml:space="preserve"> Foster collaboration between departments for smooth operational flow.</w:t>
      </w:r>
    </w:p>
    <w:p w14:paraId="676BF812" w14:textId="73C87F12" w:rsidR="00A14FD7" w:rsidRPr="007D1A67" w:rsidRDefault="000F7B76" w:rsidP="00B3305E">
      <w:pPr>
        <w:pStyle w:val="ListParagraph"/>
        <w:numPr>
          <w:ilvl w:val="0"/>
          <w:numId w:val="15"/>
        </w:numPr>
        <w:rPr>
          <w:rFonts w:ascii="Poppins" w:hAnsi="Poppins" w:cs="Poppins"/>
          <w:sz w:val="20"/>
          <w:szCs w:val="20"/>
        </w:rPr>
      </w:pPr>
      <w:r w:rsidRPr="007D1A67">
        <w:rPr>
          <w:rFonts w:ascii="Poppins" w:hAnsi="Poppins" w:cs="Poppins"/>
          <w:sz w:val="20"/>
          <w:szCs w:val="20"/>
        </w:rPr>
        <w:t xml:space="preserve"> Promote a service-oriented and accountable workplace culture.</w:t>
      </w:r>
    </w:p>
    <w:p w14:paraId="04353D8D" w14:textId="77777777" w:rsidR="00A14FD7" w:rsidRPr="007D1A67" w:rsidRDefault="000F7B76" w:rsidP="007D084C">
      <w:pPr>
        <w:spacing w:after="0" w:line="240" w:lineRule="auto"/>
        <w:rPr>
          <w:rFonts w:ascii="Poppins" w:eastAsiaTheme="minorHAnsi" w:hAnsi="Poppins" w:cs="Poppins"/>
          <w:b/>
          <w:bCs/>
          <w:color w:val="B48F49"/>
          <w:kern w:val="2"/>
          <w:sz w:val="20"/>
          <w:szCs w:val="20"/>
          <w:lang w:val="en-AU"/>
          <w14:ligatures w14:val="standardContextual"/>
        </w:rPr>
      </w:pPr>
      <w:r w:rsidRPr="007D1A67">
        <w:rPr>
          <w:rFonts w:ascii="Poppins" w:eastAsiaTheme="minorHAnsi" w:hAnsi="Poppins" w:cs="Poppins"/>
          <w:b/>
          <w:bCs/>
          <w:color w:val="B48F49"/>
          <w:kern w:val="2"/>
          <w:sz w:val="20"/>
          <w:szCs w:val="20"/>
          <w:lang w:val="en-AU"/>
          <w14:ligatures w14:val="standardContextual"/>
        </w:rPr>
        <w:t>Qualifications and Experience</w:t>
      </w:r>
    </w:p>
    <w:p w14:paraId="622FC3E7" w14:textId="77777777" w:rsidR="00B3305E" w:rsidRPr="007D1A67" w:rsidRDefault="000F7B76" w:rsidP="00B3305E">
      <w:pPr>
        <w:pStyle w:val="ListParagraph"/>
        <w:numPr>
          <w:ilvl w:val="0"/>
          <w:numId w:val="16"/>
        </w:numPr>
        <w:rPr>
          <w:rFonts w:ascii="Poppins" w:hAnsi="Poppins" w:cs="Poppins"/>
          <w:sz w:val="20"/>
          <w:szCs w:val="20"/>
        </w:rPr>
      </w:pPr>
      <w:proofErr w:type="gramStart"/>
      <w:r w:rsidRPr="007D1A67">
        <w:rPr>
          <w:rFonts w:ascii="Poppins" w:hAnsi="Poppins" w:cs="Poppins"/>
          <w:sz w:val="20"/>
          <w:szCs w:val="20"/>
        </w:rPr>
        <w:t>Bachelor’s degree in Business Administration</w:t>
      </w:r>
      <w:proofErr w:type="gramEnd"/>
      <w:r w:rsidRPr="007D1A67">
        <w:rPr>
          <w:rFonts w:ascii="Poppins" w:hAnsi="Poppins" w:cs="Poppins"/>
          <w:sz w:val="20"/>
          <w:szCs w:val="20"/>
        </w:rPr>
        <w:t>, Management, or related field.</w:t>
      </w:r>
    </w:p>
    <w:p w14:paraId="3778C830" w14:textId="77777777" w:rsidR="00B3305E" w:rsidRPr="007D1A67" w:rsidRDefault="000F7B76" w:rsidP="00B3305E">
      <w:pPr>
        <w:pStyle w:val="ListParagraph"/>
        <w:numPr>
          <w:ilvl w:val="0"/>
          <w:numId w:val="16"/>
        </w:numPr>
        <w:rPr>
          <w:rFonts w:ascii="Poppins" w:hAnsi="Poppins" w:cs="Poppins"/>
          <w:sz w:val="20"/>
          <w:szCs w:val="20"/>
        </w:rPr>
      </w:pPr>
      <w:r w:rsidRPr="007D1A67">
        <w:rPr>
          <w:rFonts w:ascii="Poppins" w:hAnsi="Poppins" w:cs="Poppins"/>
          <w:sz w:val="20"/>
          <w:szCs w:val="20"/>
        </w:rPr>
        <w:t>Minimum 7–10 years’ experience in corporate administration or operations management.</w:t>
      </w:r>
    </w:p>
    <w:p w14:paraId="11025F0B" w14:textId="77777777" w:rsidR="00B3305E" w:rsidRPr="007D1A67" w:rsidRDefault="000F7B76" w:rsidP="00B3305E">
      <w:pPr>
        <w:pStyle w:val="ListParagraph"/>
        <w:numPr>
          <w:ilvl w:val="0"/>
          <w:numId w:val="16"/>
        </w:numPr>
        <w:rPr>
          <w:rFonts w:ascii="Poppins" w:hAnsi="Poppins" w:cs="Poppins"/>
          <w:sz w:val="20"/>
          <w:szCs w:val="20"/>
        </w:rPr>
      </w:pPr>
      <w:r w:rsidRPr="007D1A67">
        <w:rPr>
          <w:rFonts w:ascii="Poppins" w:hAnsi="Poppins" w:cs="Poppins"/>
          <w:sz w:val="20"/>
          <w:szCs w:val="20"/>
        </w:rPr>
        <w:t>Proven experience managing multi-site administrative functions.</w:t>
      </w:r>
    </w:p>
    <w:p w14:paraId="7C95116A" w14:textId="0D66B5C3" w:rsidR="00B3305E" w:rsidRPr="00A915A2" w:rsidRDefault="000F7B76" w:rsidP="00A915A2">
      <w:pPr>
        <w:pStyle w:val="ListParagraph"/>
        <w:numPr>
          <w:ilvl w:val="0"/>
          <w:numId w:val="18"/>
        </w:numPr>
        <w:rPr>
          <w:rFonts w:ascii="Poppins" w:hAnsi="Poppins" w:cs="Poppins"/>
          <w:sz w:val="20"/>
          <w:szCs w:val="20"/>
        </w:rPr>
      </w:pPr>
      <w:r w:rsidRPr="007D1A67">
        <w:rPr>
          <w:rFonts w:ascii="Poppins" w:hAnsi="Poppins" w:cs="Poppins"/>
          <w:sz w:val="20"/>
          <w:szCs w:val="20"/>
        </w:rPr>
        <w:t>Strong understanding of corporate compliance, WHS, and governance frameworks.</w:t>
      </w:r>
    </w:p>
    <w:p w14:paraId="593B1765" w14:textId="7DCA0930" w:rsidR="00A14FD7" w:rsidRPr="007D1A67" w:rsidRDefault="000F7B76" w:rsidP="00B3305E">
      <w:pPr>
        <w:pStyle w:val="ListParagraph"/>
        <w:numPr>
          <w:ilvl w:val="0"/>
          <w:numId w:val="18"/>
        </w:numPr>
        <w:rPr>
          <w:rFonts w:ascii="Poppins" w:hAnsi="Poppins" w:cs="Poppins"/>
          <w:sz w:val="20"/>
          <w:szCs w:val="20"/>
        </w:rPr>
      </w:pPr>
      <w:r w:rsidRPr="007D1A67">
        <w:rPr>
          <w:rFonts w:ascii="Poppins" w:hAnsi="Poppins" w:cs="Poppins"/>
          <w:sz w:val="20"/>
          <w:szCs w:val="20"/>
        </w:rPr>
        <w:t xml:space="preserve"> Demonstrated ability to manage teams and coordinate high-level projects.</w:t>
      </w:r>
    </w:p>
    <w:p w14:paraId="18E56E7D" w14:textId="77777777" w:rsidR="00A14FD7" w:rsidRPr="007D1A67" w:rsidRDefault="000F7B76">
      <w:pPr>
        <w:pStyle w:val="Heading2"/>
        <w:rPr>
          <w:rFonts w:ascii="Poppins" w:hAnsi="Poppins" w:cs="Poppins"/>
          <w:sz w:val="20"/>
          <w:szCs w:val="20"/>
        </w:rPr>
      </w:pPr>
      <w:r w:rsidRPr="007D1A67">
        <w:rPr>
          <w:rFonts w:ascii="Poppins" w:eastAsiaTheme="minorHAnsi" w:hAnsi="Poppins" w:cs="Poppins"/>
          <w:color w:val="B48F49"/>
          <w:kern w:val="2"/>
          <w:sz w:val="20"/>
          <w:szCs w:val="20"/>
          <w:lang w:val="en-AU"/>
          <w14:ligatures w14:val="standardContextual"/>
        </w:rPr>
        <w:t>Skills</w:t>
      </w:r>
      <w:r w:rsidRPr="007D1A67">
        <w:rPr>
          <w:rFonts w:ascii="Poppins" w:hAnsi="Poppins" w:cs="Poppins"/>
          <w:sz w:val="20"/>
          <w:szCs w:val="20"/>
        </w:rPr>
        <w:t xml:space="preserve"> </w:t>
      </w:r>
      <w:r w:rsidRPr="007D1A67">
        <w:rPr>
          <w:rFonts w:ascii="Poppins" w:eastAsiaTheme="minorHAnsi" w:hAnsi="Poppins" w:cs="Poppins"/>
          <w:color w:val="B48F49"/>
          <w:kern w:val="2"/>
          <w:sz w:val="20"/>
          <w:szCs w:val="20"/>
          <w:lang w:val="en-AU"/>
          <w14:ligatures w14:val="standardContextual"/>
        </w:rPr>
        <w:t>and</w:t>
      </w:r>
      <w:r w:rsidRPr="007D1A67">
        <w:rPr>
          <w:rFonts w:ascii="Poppins" w:hAnsi="Poppins" w:cs="Poppins"/>
          <w:sz w:val="20"/>
          <w:szCs w:val="20"/>
        </w:rPr>
        <w:t xml:space="preserve"> </w:t>
      </w:r>
      <w:r w:rsidRPr="007D1A67">
        <w:rPr>
          <w:rFonts w:ascii="Poppins" w:eastAsiaTheme="minorHAnsi" w:hAnsi="Poppins" w:cs="Poppins"/>
          <w:color w:val="B48F49"/>
          <w:kern w:val="2"/>
          <w:sz w:val="20"/>
          <w:szCs w:val="20"/>
          <w:lang w:val="en-AU"/>
          <w14:ligatures w14:val="standardContextual"/>
        </w:rPr>
        <w:t>Competencies</w:t>
      </w:r>
    </w:p>
    <w:p w14:paraId="5D7FF333" w14:textId="77777777" w:rsidR="00B3305E" w:rsidRPr="007D1A67" w:rsidRDefault="000F7B76" w:rsidP="00B3305E">
      <w:pPr>
        <w:pStyle w:val="ListParagraph"/>
        <w:numPr>
          <w:ilvl w:val="0"/>
          <w:numId w:val="19"/>
        </w:numPr>
        <w:rPr>
          <w:rFonts w:ascii="Poppins" w:hAnsi="Poppins" w:cs="Poppins"/>
          <w:sz w:val="20"/>
          <w:szCs w:val="20"/>
        </w:rPr>
      </w:pPr>
      <w:r w:rsidRPr="007D1A67">
        <w:rPr>
          <w:rFonts w:ascii="Poppins" w:hAnsi="Poppins" w:cs="Poppins"/>
          <w:sz w:val="20"/>
          <w:szCs w:val="20"/>
        </w:rPr>
        <w:t xml:space="preserve">Excellent </w:t>
      </w:r>
      <w:proofErr w:type="spellStart"/>
      <w:r w:rsidRPr="007D1A67">
        <w:rPr>
          <w:rFonts w:ascii="Poppins" w:hAnsi="Poppins" w:cs="Poppins"/>
          <w:sz w:val="20"/>
          <w:szCs w:val="20"/>
        </w:rPr>
        <w:t>organisational</w:t>
      </w:r>
      <w:proofErr w:type="spellEnd"/>
      <w:r w:rsidRPr="007D1A67">
        <w:rPr>
          <w:rFonts w:ascii="Poppins" w:hAnsi="Poppins" w:cs="Poppins"/>
          <w:sz w:val="20"/>
          <w:szCs w:val="20"/>
        </w:rPr>
        <w:t xml:space="preserve"> and leadership skills.</w:t>
      </w:r>
    </w:p>
    <w:p w14:paraId="4D6278B4" w14:textId="77777777" w:rsidR="00B3305E" w:rsidRPr="007D1A67" w:rsidRDefault="000F7B76" w:rsidP="00B3305E">
      <w:pPr>
        <w:pStyle w:val="ListParagraph"/>
        <w:numPr>
          <w:ilvl w:val="0"/>
          <w:numId w:val="19"/>
        </w:numPr>
        <w:rPr>
          <w:rFonts w:ascii="Poppins" w:hAnsi="Poppins" w:cs="Poppins"/>
          <w:sz w:val="20"/>
          <w:szCs w:val="20"/>
        </w:rPr>
      </w:pPr>
      <w:r w:rsidRPr="007D1A67">
        <w:rPr>
          <w:rFonts w:ascii="Poppins" w:hAnsi="Poppins" w:cs="Poppins"/>
          <w:sz w:val="20"/>
          <w:szCs w:val="20"/>
        </w:rPr>
        <w:t>Strong written and verbal communication abilities.</w:t>
      </w:r>
    </w:p>
    <w:p w14:paraId="6D76881E" w14:textId="77777777" w:rsidR="00B3305E" w:rsidRPr="007D1A67" w:rsidRDefault="000F7B76" w:rsidP="00B3305E">
      <w:pPr>
        <w:pStyle w:val="ListParagraph"/>
        <w:numPr>
          <w:ilvl w:val="0"/>
          <w:numId w:val="19"/>
        </w:numPr>
        <w:rPr>
          <w:rFonts w:ascii="Poppins" w:hAnsi="Poppins" w:cs="Poppins"/>
          <w:sz w:val="20"/>
          <w:szCs w:val="20"/>
        </w:rPr>
      </w:pPr>
      <w:r w:rsidRPr="007D1A67">
        <w:rPr>
          <w:rFonts w:ascii="Poppins" w:hAnsi="Poppins" w:cs="Poppins"/>
          <w:sz w:val="20"/>
          <w:szCs w:val="20"/>
        </w:rPr>
        <w:t>Proficiency in Microsoft Office and business management systems.</w:t>
      </w:r>
    </w:p>
    <w:p w14:paraId="3B62FC98" w14:textId="77777777" w:rsidR="00B3305E" w:rsidRPr="007D1A67" w:rsidRDefault="000F7B76" w:rsidP="00B3305E">
      <w:pPr>
        <w:pStyle w:val="ListParagraph"/>
        <w:numPr>
          <w:ilvl w:val="0"/>
          <w:numId w:val="19"/>
        </w:numPr>
        <w:rPr>
          <w:rFonts w:ascii="Poppins" w:hAnsi="Poppins" w:cs="Poppins"/>
          <w:sz w:val="20"/>
          <w:szCs w:val="20"/>
        </w:rPr>
      </w:pPr>
      <w:r w:rsidRPr="007D1A67">
        <w:rPr>
          <w:rFonts w:ascii="Poppins" w:hAnsi="Poppins" w:cs="Poppins"/>
          <w:sz w:val="20"/>
          <w:szCs w:val="20"/>
        </w:rPr>
        <w:t>Detail-oriented with strong problem-solving capability.</w:t>
      </w:r>
    </w:p>
    <w:p w14:paraId="1CC3EB13" w14:textId="6E548443" w:rsidR="00A14FD7" w:rsidRPr="007D1A67" w:rsidRDefault="000F7B76" w:rsidP="00B3305E">
      <w:pPr>
        <w:pStyle w:val="ListParagraph"/>
        <w:numPr>
          <w:ilvl w:val="0"/>
          <w:numId w:val="19"/>
        </w:numPr>
        <w:rPr>
          <w:rFonts w:ascii="Poppins" w:hAnsi="Poppins" w:cs="Poppins"/>
          <w:sz w:val="20"/>
          <w:szCs w:val="20"/>
        </w:rPr>
      </w:pPr>
      <w:r w:rsidRPr="007D1A67">
        <w:rPr>
          <w:rFonts w:ascii="Poppins" w:hAnsi="Poppins" w:cs="Poppins"/>
          <w:sz w:val="20"/>
          <w:szCs w:val="20"/>
        </w:rPr>
        <w:t>High level of professionalism, integrity, and confidentiality.</w:t>
      </w:r>
    </w:p>
    <w:p w14:paraId="49AF5C3A" w14:textId="77777777" w:rsidR="00A14FD7" w:rsidRPr="007D1A67" w:rsidRDefault="000F7B76">
      <w:pPr>
        <w:pStyle w:val="Heading2"/>
        <w:rPr>
          <w:rFonts w:ascii="Poppins" w:eastAsiaTheme="minorHAnsi" w:hAnsi="Poppins" w:cs="Poppins"/>
          <w:color w:val="B48F49"/>
          <w:kern w:val="2"/>
          <w:sz w:val="20"/>
          <w:szCs w:val="20"/>
          <w:lang w:val="en-AU"/>
          <w14:ligatures w14:val="standardContextual"/>
        </w:rPr>
      </w:pPr>
      <w:r w:rsidRPr="007D1A67">
        <w:rPr>
          <w:rFonts w:ascii="Poppins" w:eastAsiaTheme="minorHAnsi" w:hAnsi="Poppins" w:cs="Poppins"/>
          <w:color w:val="B48F49"/>
          <w:kern w:val="2"/>
          <w:sz w:val="20"/>
          <w:szCs w:val="20"/>
          <w:lang w:val="en-AU"/>
          <w14:ligatures w14:val="standardContextual"/>
        </w:rPr>
        <w:t>Working Conditions</w:t>
      </w:r>
    </w:p>
    <w:p w14:paraId="64819A60" w14:textId="77777777" w:rsidR="00A14FD7" w:rsidRPr="007D1A67" w:rsidRDefault="000F7B76">
      <w:pPr>
        <w:rPr>
          <w:rFonts w:ascii="Poppins" w:hAnsi="Poppins" w:cs="Poppins"/>
          <w:sz w:val="20"/>
          <w:szCs w:val="20"/>
        </w:rPr>
      </w:pPr>
      <w:r w:rsidRPr="007D1A67">
        <w:rPr>
          <w:rFonts w:ascii="Poppins" w:hAnsi="Poppins" w:cs="Poppins"/>
          <w:sz w:val="20"/>
          <w:szCs w:val="20"/>
        </w:rPr>
        <w:t>This is a full-time leadership position based at Grand Royale Group’s head office in Gold Coast, Queensland. The role involves close collaboration with executive and operational teams across the organisation.</w:t>
      </w:r>
    </w:p>
    <w:p w14:paraId="291C82F2" w14:textId="77777777" w:rsidR="00A915A2" w:rsidRDefault="00A915A2">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14725DE8" w14:textId="77777777" w:rsidR="00A915A2" w:rsidRDefault="00A915A2">
      <w:pPr>
        <w:pStyle w:val="Heading2"/>
        <w:rPr>
          <w:rFonts w:ascii="Poppins" w:eastAsiaTheme="minorHAnsi" w:hAnsi="Poppins" w:cs="Poppins"/>
          <w:color w:val="B48F49"/>
          <w:kern w:val="2"/>
          <w:sz w:val="20"/>
          <w:szCs w:val="20"/>
          <w:lang w:val="en-AU"/>
          <w14:ligatures w14:val="standardContextual"/>
        </w:rPr>
      </w:pPr>
    </w:p>
    <w:p w14:paraId="373C7B93" w14:textId="77777777" w:rsidR="00A915A2" w:rsidRDefault="00A915A2">
      <w:pPr>
        <w:pStyle w:val="Heading2"/>
        <w:rPr>
          <w:rFonts w:ascii="Poppins" w:eastAsiaTheme="minorHAnsi" w:hAnsi="Poppins" w:cs="Poppins"/>
          <w:color w:val="B48F49"/>
          <w:kern w:val="2"/>
          <w:sz w:val="20"/>
          <w:szCs w:val="20"/>
          <w:lang w:val="en-AU"/>
          <w14:ligatures w14:val="standardContextual"/>
        </w:rPr>
      </w:pPr>
    </w:p>
    <w:p w14:paraId="6AD8B5B5" w14:textId="77777777" w:rsidR="00A915A2" w:rsidRDefault="00A915A2">
      <w:pPr>
        <w:pStyle w:val="Heading2"/>
        <w:rPr>
          <w:rFonts w:ascii="Poppins" w:eastAsiaTheme="minorHAnsi" w:hAnsi="Poppins" w:cs="Poppins"/>
          <w:color w:val="B48F49"/>
          <w:kern w:val="2"/>
          <w:sz w:val="20"/>
          <w:szCs w:val="20"/>
          <w:lang w:val="en-AU"/>
          <w14:ligatures w14:val="standardContextual"/>
        </w:rPr>
      </w:pPr>
    </w:p>
    <w:p w14:paraId="740B717A" w14:textId="77777777" w:rsidR="00A14FD7" w:rsidRPr="007D1A67" w:rsidRDefault="000F7B76">
      <w:pPr>
        <w:pStyle w:val="Heading2"/>
        <w:rPr>
          <w:rFonts w:ascii="Poppins" w:eastAsiaTheme="minorHAnsi" w:hAnsi="Poppins" w:cs="Poppins"/>
          <w:color w:val="B48F49"/>
          <w:kern w:val="2"/>
          <w:sz w:val="20"/>
          <w:szCs w:val="20"/>
          <w:lang w:val="en-AU"/>
          <w14:ligatures w14:val="standardContextual"/>
        </w:rPr>
      </w:pPr>
      <w:r w:rsidRPr="007D1A67">
        <w:rPr>
          <w:rFonts w:ascii="Poppins" w:eastAsiaTheme="minorHAnsi" w:hAnsi="Poppins" w:cs="Poppins"/>
          <w:color w:val="B48F49"/>
          <w:kern w:val="2"/>
          <w:sz w:val="20"/>
          <w:szCs w:val="20"/>
          <w:lang w:val="en-AU"/>
          <w14:ligatures w14:val="standardContextual"/>
        </w:rPr>
        <w:t>Key Performance Indicators (KPIs)</w:t>
      </w:r>
    </w:p>
    <w:p w14:paraId="0459B7C2" w14:textId="77777777" w:rsidR="00B3305E" w:rsidRPr="007D1A67" w:rsidRDefault="000F7B76" w:rsidP="00B3305E">
      <w:pPr>
        <w:pStyle w:val="ListParagraph"/>
        <w:numPr>
          <w:ilvl w:val="0"/>
          <w:numId w:val="20"/>
        </w:numPr>
        <w:rPr>
          <w:rFonts w:ascii="Poppins" w:hAnsi="Poppins" w:cs="Poppins"/>
          <w:sz w:val="20"/>
          <w:szCs w:val="20"/>
        </w:rPr>
      </w:pPr>
      <w:r w:rsidRPr="007D1A67">
        <w:rPr>
          <w:rFonts w:ascii="Poppins" w:hAnsi="Poppins" w:cs="Poppins"/>
          <w:sz w:val="20"/>
          <w:szCs w:val="20"/>
        </w:rPr>
        <w:t>Efficiency and accuracy of administrative operations.</w:t>
      </w:r>
    </w:p>
    <w:p w14:paraId="4AB42D06" w14:textId="77777777" w:rsidR="00B3305E" w:rsidRPr="007D1A67" w:rsidRDefault="000F7B76" w:rsidP="00B3305E">
      <w:pPr>
        <w:pStyle w:val="ListParagraph"/>
        <w:numPr>
          <w:ilvl w:val="0"/>
          <w:numId w:val="20"/>
        </w:numPr>
        <w:rPr>
          <w:rFonts w:ascii="Poppins" w:hAnsi="Poppins" w:cs="Poppins"/>
          <w:sz w:val="20"/>
          <w:szCs w:val="20"/>
        </w:rPr>
      </w:pPr>
      <w:r w:rsidRPr="007D1A67">
        <w:rPr>
          <w:rFonts w:ascii="Poppins" w:hAnsi="Poppins" w:cs="Poppins"/>
          <w:sz w:val="20"/>
          <w:szCs w:val="20"/>
        </w:rPr>
        <w:t>Compliance with corporate governance and reporting requirements.</w:t>
      </w:r>
    </w:p>
    <w:p w14:paraId="43B60DFA" w14:textId="77777777" w:rsidR="00B3305E" w:rsidRPr="007D1A67" w:rsidRDefault="000F7B76" w:rsidP="00B3305E">
      <w:pPr>
        <w:pStyle w:val="ListParagraph"/>
        <w:numPr>
          <w:ilvl w:val="0"/>
          <w:numId w:val="20"/>
        </w:numPr>
        <w:rPr>
          <w:rFonts w:ascii="Poppins" w:hAnsi="Poppins" w:cs="Poppins"/>
          <w:sz w:val="20"/>
          <w:szCs w:val="20"/>
        </w:rPr>
      </w:pPr>
      <w:r w:rsidRPr="007D1A67">
        <w:rPr>
          <w:rFonts w:ascii="Poppins" w:hAnsi="Poppins" w:cs="Poppins"/>
          <w:sz w:val="20"/>
          <w:szCs w:val="20"/>
        </w:rPr>
        <w:t xml:space="preserve"> Team performance and stakeholder satisfaction.</w:t>
      </w:r>
    </w:p>
    <w:p w14:paraId="316E834B" w14:textId="77777777" w:rsidR="00B3305E" w:rsidRPr="007D1A67" w:rsidRDefault="000F7B76" w:rsidP="00B3305E">
      <w:pPr>
        <w:pStyle w:val="ListParagraph"/>
        <w:numPr>
          <w:ilvl w:val="0"/>
          <w:numId w:val="20"/>
        </w:numPr>
        <w:rPr>
          <w:rFonts w:ascii="Poppins" w:hAnsi="Poppins" w:cs="Poppins"/>
          <w:sz w:val="20"/>
          <w:szCs w:val="20"/>
        </w:rPr>
      </w:pPr>
      <w:r w:rsidRPr="007D1A67">
        <w:rPr>
          <w:rFonts w:ascii="Poppins" w:hAnsi="Poppins" w:cs="Poppins"/>
          <w:sz w:val="20"/>
          <w:szCs w:val="20"/>
        </w:rPr>
        <w:t xml:space="preserve"> Timeliness of documentation and meeting deliverables.</w:t>
      </w:r>
    </w:p>
    <w:p w14:paraId="690C9F02" w14:textId="49DCA9E5" w:rsidR="00A14FD7" w:rsidRPr="007D1A67" w:rsidRDefault="000F7B76" w:rsidP="00B3305E">
      <w:pPr>
        <w:pStyle w:val="ListParagraph"/>
        <w:numPr>
          <w:ilvl w:val="0"/>
          <w:numId w:val="20"/>
        </w:numPr>
        <w:rPr>
          <w:rFonts w:ascii="Poppins" w:hAnsi="Poppins" w:cs="Poppins"/>
          <w:sz w:val="20"/>
          <w:szCs w:val="20"/>
        </w:rPr>
      </w:pPr>
      <w:r w:rsidRPr="007D1A67">
        <w:rPr>
          <w:rFonts w:ascii="Poppins" w:hAnsi="Poppins" w:cs="Poppins"/>
          <w:sz w:val="20"/>
          <w:szCs w:val="20"/>
        </w:rPr>
        <w:t xml:space="preserve">Contribution to </w:t>
      </w:r>
      <w:proofErr w:type="spellStart"/>
      <w:r w:rsidRPr="007D1A67">
        <w:rPr>
          <w:rFonts w:ascii="Poppins" w:hAnsi="Poppins" w:cs="Poppins"/>
          <w:sz w:val="20"/>
          <w:szCs w:val="20"/>
        </w:rPr>
        <w:t>organisational</w:t>
      </w:r>
      <w:proofErr w:type="spellEnd"/>
      <w:r w:rsidRPr="007D1A67">
        <w:rPr>
          <w:rFonts w:ascii="Poppins" w:hAnsi="Poppins" w:cs="Poppins"/>
          <w:sz w:val="20"/>
          <w:szCs w:val="20"/>
        </w:rPr>
        <w:t xml:space="preserve"> communication and coordination.</w:t>
      </w:r>
    </w:p>
    <w:p w14:paraId="773DB37E" w14:textId="77777777" w:rsidR="00A14FD7" w:rsidRPr="007D1A67" w:rsidRDefault="000F7B76">
      <w:pPr>
        <w:pStyle w:val="Heading2"/>
        <w:rPr>
          <w:rFonts w:ascii="Poppins" w:eastAsiaTheme="minorHAnsi" w:hAnsi="Poppins" w:cs="Poppins"/>
          <w:color w:val="B48F49"/>
          <w:kern w:val="2"/>
          <w:sz w:val="20"/>
          <w:szCs w:val="20"/>
          <w:lang w:val="en-AU"/>
          <w14:ligatures w14:val="standardContextual"/>
        </w:rPr>
      </w:pPr>
      <w:r w:rsidRPr="007D1A67">
        <w:rPr>
          <w:rFonts w:ascii="Poppins" w:eastAsiaTheme="minorHAnsi" w:hAnsi="Poppins" w:cs="Poppins"/>
          <w:color w:val="B48F49"/>
          <w:kern w:val="2"/>
          <w:sz w:val="20"/>
          <w:szCs w:val="20"/>
          <w:lang w:val="en-AU"/>
          <w14:ligatures w14:val="standardContextual"/>
        </w:rPr>
        <w:t>Company Values and Culture</w:t>
      </w:r>
    </w:p>
    <w:p w14:paraId="7A15DD06" w14:textId="77777777" w:rsidR="00A14FD7" w:rsidRPr="007D1A67" w:rsidRDefault="000F7B76">
      <w:pPr>
        <w:rPr>
          <w:rFonts w:ascii="Poppins" w:hAnsi="Poppins" w:cs="Poppins"/>
          <w:sz w:val="20"/>
          <w:szCs w:val="20"/>
        </w:rPr>
      </w:pPr>
      <w:r w:rsidRPr="007D1A67">
        <w:rPr>
          <w:rFonts w:ascii="Poppins" w:hAnsi="Poppins" w:cs="Poppins"/>
          <w:sz w:val="20"/>
          <w:szCs w:val="20"/>
        </w:rPr>
        <w:t>Grand Royale Group values professionalism, collaboration, and accountability. The organisation is committed to maintaining operational excellence and fostering a respectful, inclusive, and high-performing workplace culture.</w:t>
      </w:r>
    </w:p>
    <w:p w14:paraId="14925451" w14:textId="77777777" w:rsidR="00A14FD7" w:rsidRPr="007D1A67" w:rsidRDefault="000F7B76">
      <w:pPr>
        <w:pStyle w:val="Heading2"/>
        <w:rPr>
          <w:rFonts w:ascii="Poppins" w:eastAsiaTheme="minorHAnsi" w:hAnsi="Poppins" w:cs="Poppins"/>
          <w:color w:val="B48F49"/>
          <w:kern w:val="2"/>
          <w:sz w:val="20"/>
          <w:szCs w:val="20"/>
          <w:lang w:val="en-AU"/>
          <w14:ligatures w14:val="standardContextual"/>
        </w:rPr>
      </w:pPr>
      <w:r w:rsidRPr="007D1A67">
        <w:rPr>
          <w:rFonts w:ascii="Poppins" w:eastAsiaTheme="minorHAnsi" w:hAnsi="Poppins" w:cs="Poppins"/>
          <w:color w:val="B48F49"/>
          <w:kern w:val="2"/>
          <w:sz w:val="20"/>
          <w:szCs w:val="20"/>
          <w:lang w:val="en-AU"/>
          <w14:ligatures w14:val="standardContextual"/>
        </w:rPr>
        <w:t>Career Path</w:t>
      </w:r>
    </w:p>
    <w:p w14:paraId="4B69C0FF" w14:textId="77777777" w:rsidR="00A14FD7" w:rsidRPr="007D1A67" w:rsidRDefault="000F7B76">
      <w:pPr>
        <w:rPr>
          <w:rFonts w:ascii="Poppins" w:hAnsi="Poppins" w:cs="Poppins"/>
          <w:sz w:val="20"/>
          <w:szCs w:val="20"/>
        </w:rPr>
      </w:pPr>
      <w:r w:rsidRPr="007D1A67">
        <w:rPr>
          <w:rFonts w:ascii="Poppins" w:hAnsi="Poppins" w:cs="Poppins"/>
          <w:sz w:val="20"/>
          <w:szCs w:val="20"/>
        </w:rPr>
        <w:t>This position offers progression opportunities into senior leadership roles such as Director of Corporate Services or Chief Operating Officer (COO) within Grand Royale Group or the broader hospitality industry.</w:t>
      </w:r>
    </w:p>
    <w:sectPr w:rsidR="00A14FD7" w:rsidRPr="007D1A67" w:rsidSect="007D084C">
      <w:headerReference w:type="default" r:id="rId8"/>
      <w:pgSz w:w="11907" w:h="16839" w:code="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FB29C" w14:textId="77777777" w:rsidR="000F7B76" w:rsidRDefault="000F7B76" w:rsidP="007D084C">
      <w:pPr>
        <w:spacing w:after="0" w:line="240" w:lineRule="auto"/>
      </w:pPr>
      <w:r>
        <w:separator/>
      </w:r>
    </w:p>
  </w:endnote>
  <w:endnote w:type="continuationSeparator" w:id="0">
    <w:p w14:paraId="04B6F972" w14:textId="77777777" w:rsidR="000F7B76" w:rsidRDefault="000F7B76" w:rsidP="007D0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
    <w:altName w:val="Courier New"/>
    <w:charset w:val="00"/>
    <w:family w:val="auto"/>
    <w:pitch w:val="variable"/>
    <w:sig w:usb0="00008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3F07E8" w14:textId="77777777" w:rsidR="000F7B76" w:rsidRDefault="000F7B76" w:rsidP="007D084C">
      <w:pPr>
        <w:spacing w:after="0" w:line="240" w:lineRule="auto"/>
      </w:pPr>
      <w:r>
        <w:separator/>
      </w:r>
    </w:p>
  </w:footnote>
  <w:footnote w:type="continuationSeparator" w:id="0">
    <w:p w14:paraId="08AA6540" w14:textId="77777777" w:rsidR="000F7B76" w:rsidRDefault="000F7B76" w:rsidP="007D08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FB770" w14:textId="1AE3EA32" w:rsidR="007D084C" w:rsidRDefault="007D084C">
    <w:pPr>
      <w:pStyle w:val="Header"/>
    </w:pPr>
    <w:r>
      <w:rPr>
        <w:noProof/>
      </w:rPr>
      <w:drawing>
        <wp:anchor distT="0" distB="0" distL="114300" distR="114300" simplePos="0" relativeHeight="251658240" behindDoc="1" locked="0" layoutInCell="1" allowOverlap="1" wp14:anchorId="349C3E6E" wp14:editId="46F15D46">
          <wp:simplePos x="0" y="0"/>
          <wp:positionH relativeFrom="column">
            <wp:posOffset>-1135117</wp:posOffset>
          </wp:positionH>
          <wp:positionV relativeFrom="paragraph">
            <wp:posOffset>-431910</wp:posOffset>
          </wp:positionV>
          <wp:extent cx="7550133" cy="10689470"/>
          <wp:effectExtent l="9525" t="9525" r="9525" b="9525"/>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550133" cy="10689470"/>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39874D9"/>
    <w:multiLevelType w:val="hybridMultilevel"/>
    <w:tmpl w:val="FFBEE87E"/>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0" w15:restartNumberingAfterBreak="0">
    <w:nsid w:val="1A2E1090"/>
    <w:multiLevelType w:val="hybridMultilevel"/>
    <w:tmpl w:val="0FA24114"/>
    <w:lvl w:ilvl="0" w:tplc="8FDE9E34">
      <w:start w:val="1"/>
      <w:numFmt w:val="bullet"/>
      <w:lvlText w:val=""/>
      <w:lvlJc w:val="left"/>
      <w:pPr>
        <w:ind w:left="777" w:hanging="360"/>
      </w:pPr>
      <w:rPr>
        <w:rFonts w:ascii="Symbol" w:hAnsi="Symbol" w:hint="default"/>
        <w:color w:val="B48F49"/>
      </w:rPr>
    </w:lvl>
    <w:lvl w:ilvl="1" w:tplc="FFFFFFFF" w:tentative="1">
      <w:start w:val="1"/>
      <w:numFmt w:val="bullet"/>
      <w:lvlText w:val="o"/>
      <w:lvlJc w:val="left"/>
      <w:pPr>
        <w:ind w:left="1497" w:hanging="360"/>
      </w:pPr>
      <w:rPr>
        <w:rFonts w:ascii="Courier New" w:hAnsi="Courier New" w:cs="Courier New" w:hint="default"/>
      </w:rPr>
    </w:lvl>
    <w:lvl w:ilvl="2" w:tplc="FFFFFFFF" w:tentative="1">
      <w:start w:val="1"/>
      <w:numFmt w:val="bullet"/>
      <w:lvlText w:val=""/>
      <w:lvlJc w:val="left"/>
      <w:pPr>
        <w:ind w:left="2217" w:hanging="360"/>
      </w:pPr>
      <w:rPr>
        <w:rFonts w:ascii="Wingdings" w:hAnsi="Wingdings" w:hint="default"/>
      </w:rPr>
    </w:lvl>
    <w:lvl w:ilvl="3" w:tplc="FFFFFFFF" w:tentative="1">
      <w:start w:val="1"/>
      <w:numFmt w:val="bullet"/>
      <w:lvlText w:val=""/>
      <w:lvlJc w:val="left"/>
      <w:pPr>
        <w:ind w:left="2937" w:hanging="360"/>
      </w:pPr>
      <w:rPr>
        <w:rFonts w:ascii="Symbol" w:hAnsi="Symbol" w:hint="default"/>
      </w:rPr>
    </w:lvl>
    <w:lvl w:ilvl="4" w:tplc="FFFFFFFF" w:tentative="1">
      <w:start w:val="1"/>
      <w:numFmt w:val="bullet"/>
      <w:lvlText w:val="o"/>
      <w:lvlJc w:val="left"/>
      <w:pPr>
        <w:ind w:left="3657" w:hanging="360"/>
      </w:pPr>
      <w:rPr>
        <w:rFonts w:ascii="Courier New" w:hAnsi="Courier New" w:cs="Courier New" w:hint="default"/>
      </w:rPr>
    </w:lvl>
    <w:lvl w:ilvl="5" w:tplc="FFFFFFFF" w:tentative="1">
      <w:start w:val="1"/>
      <w:numFmt w:val="bullet"/>
      <w:lvlText w:val=""/>
      <w:lvlJc w:val="left"/>
      <w:pPr>
        <w:ind w:left="4377" w:hanging="360"/>
      </w:pPr>
      <w:rPr>
        <w:rFonts w:ascii="Wingdings" w:hAnsi="Wingdings" w:hint="default"/>
      </w:rPr>
    </w:lvl>
    <w:lvl w:ilvl="6" w:tplc="FFFFFFFF" w:tentative="1">
      <w:start w:val="1"/>
      <w:numFmt w:val="bullet"/>
      <w:lvlText w:val=""/>
      <w:lvlJc w:val="left"/>
      <w:pPr>
        <w:ind w:left="5097" w:hanging="360"/>
      </w:pPr>
      <w:rPr>
        <w:rFonts w:ascii="Symbol" w:hAnsi="Symbol" w:hint="default"/>
      </w:rPr>
    </w:lvl>
    <w:lvl w:ilvl="7" w:tplc="FFFFFFFF" w:tentative="1">
      <w:start w:val="1"/>
      <w:numFmt w:val="bullet"/>
      <w:lvlText w:val="o"/>
      <w:lvlJc w:val="left"/>
      <w:pPr>
        <w:ind w:left="5817" w:hanging="360"/>
      </w:pPr>
      <w:rPr>
        <w:rFonts w:ascii="Courier New" w:hAnsi="Courier New" w:cs="Courier New" w:hint="default"/>
      </w:rPr>
    </w:lvl>
    <w:lvl w:ilvl="8" w:tplc="FFFFFFFF" w:tentative="1">
      <w:start w:val="1"/>
      <w:numFmt w:val="bullet"/>
      <w:lvlText w:val=""/>
      <w:lvlJc w:val="left"/>
      <w:pPr>
        <w:ind w:left="6537" w:hanging="360"/>
      </w:pPr>
      <w:rPr>
        <w:rFonts w:ascii="Wingdings" w:hAnsi="Wingdings" w:hint="default"/>
      </w:rPr>
    </w:lvl>
  </w:abstractNum>
  <w:abstractNum w:abstractNumId="11" w15:restartNumberingAfterBreak="0">
    <w:nsid w:val="26C22889"/>
    <w:multiLevelType w:val="hybridMultilevel"/>
    <w:tmpl w:val="FF96A948"/>
    <w:lvl w:ilvl="0" w:tplc="8FDE9E34">
      <w:start w:val="1"/>
      <w:numFmt w:val="bullet"/>
      <w:lvlText w:val=""/>
      <w:lvlJc w:val="left"/>
      <w:pPr>
        <w:ind w:left="720" w:hanging="360"/>
      </w:pPr>
      <w:rPr>
        <w:rFonts w:ascii="Symbol" w:hAnsi="Symbol" w:hint="default"/>
        <w:color w:val="B48F49"/>
      </w:rPr>
    </w:lvl>
    <w:lvl w:ilvl="1" w:tplc="E250A9E0">
      <w:numFmt w:val="bullet"/>
      <w:lvlText w:val="-"/>
      <w:lvlJc w:val="left"/>
      <w:pPr>
        <w:ind w:left="1440" w:hanging="360"/>
      </w:pPr>
      <w:rPr>
        <w:rFonts w:ascii="Poppins" w:eastAsiaTheme="minorEastAsia" w:hAnsi="Poppins" w:cs="Poppins" w:hint="default"/>
        <w:b w:val="0"/>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F2505C"/>
    <w:multiLevelType w:val="hybridMultilevel"/>
    <w:tmpl w:val="48A2E712"/>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3" w15:restartNumberingAfterBreak="0">
    <w:nsid w:val="32B63661"/>
    <w:multiLevelType w:val="hybridMultilevel"/>
    <w:tmpl w:val="99FCF6C6"/>
    <w:lvl w:ilvl="0" w:tplc="8FDE9E34">
      <w:start w:val="1"/>
      <w:numFmt w:val="bullet"/>
      <w:lvlText w:val=""/>
      <w:lvlJc w:val="left"/>
      <w:pPr>
        <w:ind w:left="720" w:hanging="360"/>
      </w:pPr>
      <w:rPr>
        <w:rFonts w:ascii="Symbol" w:hAnsi="Symbol" w:hint="default"/>
        <w:color w:val="B48F49"/>
      </w:rPr>
    </w:lvl>
    <w:lvl w:ilvl="1" w:tplc="8FDE9E34">
      <w:start w:val="1"/>
      <w:numFmt w:val="bullet"/>
      <w:lvlText w:val=""/>
      <w:lvlJc w:val="left"/>
      <w:pPr>
        <w:ind w:left="720" w:hanging="360"/>
      </w:pPr>
      <w:rPr>
        <w:rFonts w:ascii="Symbol" w:hAnsi="Symbol" w:hint="default"/>
        <w:color w:val="B48F49"/>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3FC3510"/>
    <w:multiLevelType w:val="hybridMultilevel"/>
    <w:tmpl w:val="0FAA4AE0"/>
    <w:lvl w:ilvl="0" w:tplc="8FDE9E34">
      <w:start w:val="1"/>
      <w:numFmt w:val="bullet"/>
      <w:lvlText w:val=""/>
      <w:lvlJc w:val="left"/>
      <w:pPr>
        <w:ind w:left="720" w:hanging="360"/>
      </w:pPr>
      <w:rPr>
        <w:rFonts w:ascii="Symbol" w:hAnsi="Symbol" w:hint="default"/>
        <w:color w:val="B48F49"/>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7AC934E9"/>
    <w:multiLevelType w:val="hybridMultilevel"/>
    <w:tmpl w:val="CE6A6D1A"/>
    <w:lvl w:ilvl="0" w:tplc="8FDE9E34">
      <w:start w:val="1"/>
      <w:numFmt w:val="bullet"/>
      <w:lvlText w:val=""/>
      <w:lvlJc w:val="left"/>
      <w:pPr>
        <w:ind w:left="720" w:hanging="360"/>
      </w:pPr>
      <w:rPr>
        <w:rFonts w:ascii="Symbol" w:hAnsi="Symbol" w:hint="default"/>
        <w:color w:val="B48F49"/>
      </w:rPr>
    </w:lvl>
    <w:lvl w:ilvl="1" w:tplc="8FDE9E34">
      <w:start w:val="1"/>
      <w:numFmt w:val="bullet"/>
      <w:lvlText w:val=""/>
      <w:lvlJc w:val="left"/>
      <w:pPr>
        <w:ind w:left="720" w:hanging="360"/>
      </w:pPr>
      <w:rPr>
        <w:rFonts w:ascii="Symbol" w:hAnsi="Symbol" w:hint="default"/>
        <w:color w:val="B48F49"/>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EB5AFD"/>
    <w:multiLevelType w:val="hybridMultilevel"/>
    <w:tmpl w:val="AFE6AFEA"/>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7" w15:restartNumberingAfterBreak="0">
    <w:nsid w:val="7B105609"/>
    <w:multiLevelType w:val="hybridMultilevel"/>
    <w:tmpl w:val="A2F4E694"/>
    <w:lvl w:ilvl="0" w:tplc="8FDE9E34">
      <w:start w:val="1"/>
      <w:numFmt w:val="bullet"/>
      <w:lvlText w:val=""/>
      <w:lvlJc w:val="left"/>
      <w:pPr>
        <w:ind w:left="777" w:hanging="360"/>
      </w:pPr>
      <w:rPr>
        <w:rFonts w:ascii="Symbol" w:hAnsi="Symbol" w:hint="default"/>
        <w:color w:val="B48F49"/>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8" w15:restartNumberingAfterBreak="0">
    <w:nsid w:val="7CC315FB"/>
    <w:multiLevelType w:val="hybridMultilevel"/>
    <w:tmpl w:val="B4AA5A7A"/>
    <w:lvl w:ilvl="0" w:tplc="5FF0DCF8">
      <w:numFmt w:val="bullet"/>
      <w:lvlText w:val="-"/>
      <w:lvlJc w:val="left"/>
      <w:pPr>
        <w:ind w:left="720" w:hanging="360"/>
      </w:pPr>
      <w:rPr>
        <w:rFonts w:ascii="Poppins" w:eastAsiaTheme="minorEastAsia" w:hAnsi="Poppins" w:cs="Poppin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DDF336E"/>
    <w:multiLevelType w:val="hybridMultilevel"/>
    <w:tmpl w:val="83FAB1DC"/>
    <w:lvl w:ilvl="0" w:tplc="8FDE9E34">
      <w:start w:val="1"/>
      <w:numFmt w:val="bullet"/>
      <w:lvlText w:val=""/>
      <w:lvlJc w:val="left"/>
      <w:pPr>
        <w:ind w:left="777" w:hanging="360"/>
      </w:pPr>
      <w:rPr>
        <w:rFonts w:ascii="Symbol" w:hAnsi="Symbol" w:hint="default"/>
        <w:color w:val="B48F49"/>
      </w:rPr>
    </w:lvl>
    <w:lvl w:ilvl="1" w:tplc="FFFFFFFF" w:tentative="1">
      <w:start w:val="1"/>
      <w:numFmt w:val="bullet"/>
      <w:lvlText w:val="o"/>
      <w:lvlJc w:val="left"/>
      <w:pPr>
        <w:ind w:left="1497" w:hanging="360"/>
      </w:pPr>
      <w:rPr>
        <w:rFonts w:ascii="Courier New" w:hAnsi="Courier New" w:cs="Courier New" w:hint="default"/>
      </w:rPr>
    </w:lvl>
    <w:lvl w:ilvl="2" w:tplc="FFFFFFFF" w:tentative="1">
      <w:start w:val="1"/>
      <w:numFmt w:val="bullet"/>
      <w:lvlText w:val=""/>
      <w:lvlJc w:val="left"/>
      <w:pPr>
        <w:ind w:left="2217" w:hanging="360"/>
      </w:pPr>
      <w:rPr>
        <w:rFonts w:ascii="Wingdings" w:hAnsi="Wingdings" w:hint="default"/>
      </w:rPr>
    </w:lvl>
    <w:lvl w:ilvl="3" w:tplc="FFFFFFFF" w:tentative="1">
      <w:start w:val="1"/>
      <w:numFmt w:val="bullet"/>
      <w:lvlText w:val=""/>
      <w:lvlJc w:val="left"/>
      <w:pPr>
        <w:ind w:left="2937" w:hanging="360"/>
      </w:pPr>
      <w:rPr>
        <w:rFonts w:ascii="Symbol" w:hAnsi="Symbol" w:hint="default"/>
      </w:rPr>
    </w:lvl>
    <w:lvl w:ilvl="4" w:tplc="FFFFFFFF" w:tentative="1">
      <w:start w:val="1"/>
      <w:numFmt w:val="bullet"/>
      <w:lvlText w:val="o"/>
      <w:lvlJc w:val="left"/>
      <w:pPr>
        <w:ind w:left="3657" w:hanging="360"/>
      </w:pPr>
      <w:rPr>
        <w:rFonts w:ascii="Courier New" w:hAnsi="Courier New" w:cs="Courier New" w:hint="default"/>
      </w:rPr>
    </w:lvl>
    <w:lvl w:ilvl="5" w:tplc="FFFFFFFF" w:tentative="1">
      <w:start w:val="1"/>
      <w:numFmt w:val="bullet"/>
      <w:lvlText w:val=""/>
      <w:lvlJc w:val="left"/>
      <w:pPr>
        <w:ind w:left="4377" w:hanging="360"/>
      </w:pPr>
      <w:rPr>
        <w:rFonts w:ascii="Wingdings" w:hAnsi="Wingdings" w:hint="default"/>
      </w:rPr>
    </w:lvl>
    <w:lvl w:ilvl="6" w:tplc="FFFFFFFF" w:tentative="1">
      <w:start w:val="1"/>
      <w:numFmt w:val="bullet"/>
      <w:lvlText w:val=""/>
      <w:lvlJc w:val="left"/>
      <w:pPr>
        <w:ind w:left="5097" w:hanging="360"/>
      </w:pPr>
      <w:rPr>
        <w:rFonts w:ascii="Symbol" w:hAnsi="Symbol" w:hint="default"/>
      </w:rPr>
    </w:lvl>
    <w:lvl w:ilvl="7" w:tplc="FFFFFFFF" w:tentative="1">
      <w:start w:val="1"/>
      <w:numFmt w:val="bullet"/>
      <w:lvlText w:val="o"/>
      <w:lvlJc w:val="left"/>
      <w:pPr>
        <w:ind w:left="5817" w:hanging="360"/>
      </w:pPr>
      <w:rPr>
        <w:rFonts w:ascii="Courier New" w:hAnsi="Courier New" w:cs="Courier New" w:hint="default"/>
      </w:rPr>
    </w:lvl>
    <w:lvl w:ilvl="8" w:tplc="FFFFFFFF" w:tentative="1">
      <w:start w:val="1"/>
      <w:numFmt w:val="bullet"/>
      <w:lvlText w:val=""/>
      <w:lvlJc w:val="left"/>
      <w:pPr>
        <w:ind w:left="6537" w:hanging="360"/>
      </w:pPr>
      <w:rPr>
        <w:rFonts w:ascii="Wingdings" w:hAnsi="Wingdings" w:hint="default"/>
      </w:rPr>
    </w:lvl>
  </w:abstractNum>
  <w:num w:numId="1" w16cid:durableId="1848015342">
    <w:abstractNumId w:val="8"/>
  </w:num>
  <w:num w:numId="2" w16cid:durableId="429204253">
    <w:abstractNumId w:val="6"/>
  </w:num>
  <w:num w:numId="3" w16cid:durableId="1681395510">
    <w:abstractNumId w:val="5"/>
  </w:num>
  <w:num w:numId="4" w16cid:durableId="120005460">
    <w:abstractNumId w:val="4"/>
  </w:num>
  <w:num w:numId="5" w16cid:durableId="286862784">
    <w:abstractNumId w:val="7"/>
  </w:num>
  <w:num w:numId="6" w16cid:durableId="84880967">
    <w:abstractNumId w:val="3"/>
  </w:num>
  <w:num w:numId="7" w16cid:durableId="414134114">
    <w:abstractNumId w:val="2"/>
  </w:num>
  <w:num w:numId="8" w16cid:durableId="940914498">
    <w:abstractNumId w:val="1"/>
  </w:num>
  <w:num w:numId="9" w16cid:durableId="452755028">
    <w:abstractNumId w:val="0"/>
  </w:num>
  <w:num w:numId="10" w16cid:durableId="1824665293">
    <w:abstractNumId w:val="18"/>
  </w:num>
  <w:num w:numId="11" w16cid:durableId="1442333556">
    <w:abstractNumId w:val="14"/>
  </w:num>
  <w:num w:numId="12" w16cid:durableId="1719014091">
    <w:abstractNumId w:val="11"/>
  </w:num>
  <w:num w:numId="13" w16cid:durableId="1864320265">
    <w:abstractNumId w:val="13"/>
  </w:num>
  <w:num w:numId="14" w16cid:durableId="398750503">
    <w:abstractNumId w:val="15"/>
  </w:num>
  <w:num w:numId="15" w16cid:durableId="1892576060">
    <w:abstractNumId w:val="12"/>
  </w:num>
  <w:num w:numId="16" w16cid:durableId="1739091784">
    <w:abstractNumId w:val="16"/>
  </w:num>
  <w:num w:numId="17" w16cid:durableId="931357100">
    <w:abstractNumId w:val="19"/>
  </w:num>
  <w:num w:numId="18" w16cid:durableId="443430391">
    <w:abstractNumId w:val="10"/>
  </w:num>
  <w:num w:numId="19" w16cid:durableId="965041345">
    <w:abstractNumId w:val="9"/>
  </w:num>
  <w:num w:numId="20" w16cid:durableId="202763318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F7B76"/>
    <w:rsid w:val="00145ECF"/>
    <w:rsid w:val="0015074B"/>
    <w:rsid w:val="00171CBE"/>
    <w:rsid w:val="00232D79"/>
    <w:rsid w:val="0029639D"/>
    <w:rsid w:val="00326F90"/>
    <w:rsid w:val="00387679"/>
    <w:rsid w:val="00400CB5"/>
    <w:rsid w:val="004152B3"/>
    <w:rsid w:val="004821C1"/>
    <w:rsid w:val="004E503A"/>
    <w:rsid w:val="00542D6C"/>
    <w:rsid w:val="00591C8B"/>
    <w:rsid w:val="006C7A48"/>
    <w:rsid w:val="00717E61"/>
    <w:rsid w:val="007D084C"/>
    <w:rsid w:val="007D1A67"/>
    <w:rsid w:val="00944D51"/>
    <w:rsid w:val="00A14FD7"/>
    <w:rsid w:val="00A915A2"/>
    <w:rsid w:val="00AA1D8D"/>
    <w:rsid w:val="00B3305E"/>
    <w:rsid w:val="00B47730"/>
    <w:rsid w:val="00BE1DC5"/>
    <w:rsid w:val="00CB0664"/>
    <w:rsid w:val="00F84825"/>
    <w:rsid w:val="00FC693F"/>
    <w:rsid w:val="1D7FB13F"/>
    <w:rsid w:val="72E5FC0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5CFD0CEC-D1D1-47FF-92E9-2416BB7DF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nil"/>
      <w:tblBorders>
        <w:top w:val="single" w:sz="8" w:space="0" w:color="000000" w:themeColor="text1"/>
        <w:bottom w:val="single" w:sz="8" w:space="0" w:color="000000" w:themeColor="text1"/>
      </w:tblBorders>
      <w:tblCellMar>
        <w:left w:w="0" w:type="dxa"/>
        <w:right w:w="0"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nil"/>
      <w:tblCellMar>
        <w:left w:w="0" w:type="dxa"/>
        <w:right w:w="0" w:type="dxa"/>
      </w:tblCellMar>
    </w:tblPr>
    <w:tcPr>
      <w:tcBorders>
        <w:left w:val="nil"/>
        <w:right w:val="nil"/>
        <w:insideH w:val="nil"/>
        <w:insideV w:val="nil"/>
      </w:tcBorders>
      <w:shd w:val="clear" w:color="auto" w:fill="D3DFEE" w:themeFill="accent1" w:themeFillTint="3F"/>
    </w:tc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nil"/>
      <w:tblCellMar>
        <w:left w:w="0" w:type="dxa"/>
        <w:right w:w="0" w:type="dxa"/>
      </w:tblCellMar>
    </w:tblPr>
    <w:tcPr>
      <w:tcBorders>
        <w:left w:val="nil"/>
        <w:right w:val="nil"/>
        <w:insideH w:val="nil"/>
        <w:insideV w:val="nil"/>
      </w:tcBorders>
      <w:shd w:val="clear" w:color="auto" w:fill="EFD3D2" w:themeFill="accent2" w:themeFillTint="3F"/>
    </w:tc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nil"/>
      <w:tblCellMar>
        <w:left w:w="0" w:type="dxa"/>
        <w:right w:w="0" w:type="dxa"/>
      </w:tblCellMar>
    </w:tblPr>
    <w:tcPr>
      <w:tcBorders>
        <w:left w:val="nil"/>
        <w:right w:val="nil"/>
        <w:insideH w:val="nil"/>
        <w:insideV w:val="nil"/>
      </w:tcBorders>
      <w:shd w:val="clear" w:color="auto" w:fill="E6EED5" w:themeFill="accent3" w:themeFillTint="3F"/>
    </w:tc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nil"/>
      <w:tblCellMar>
        <w:left w:w="0" w:type="dxa"/>
        <w:right w:w="0" w:type="dxa"/>
      </w:tblCellMar>
    </w:tblPr>
    <w:tcPr>
      <w:tcBorders>
        <w:left w:val="nil"/>
        <w:right w:val="nil"/>
        <w:insideH w:val="nil"/>
        <w:insideV w:val="nil"/>
      </w:tcBorders>
      <w:shd w:val="clear" w:color="auto" w:fill="DFD8E8" w:themeFill="accent4" w:themeFillTint="3F"/>
    </w:tc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nil"/>
      <w:tblCellMar>
        <w:left w:w="0" w:type="dxa"/>
        <w:right w:w="0" w:type="dxa"/>
      </w:tblCellMar>
    </w:tblPr>
    <w:tcPr>
      <w:tcBorders>
        <w:left w:val="nil"/>
        <w:right w:val="nil"/>
        <w:insideH w:val="nil"/>
        <w:insideV w:val="nil"/>
      </w:tcBorders>
      <w:shd w:val="clear" w:color="auto" w:fill="D2EAF1" w:themeFill="accent5" w:themeFillTint="3F"/>
    </w:tc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nil"/>
      <w:tblCellMar>
        <w:left w:w="0" w:type="dxa"/>
        <w:right w:w="0" w:type="dxa"/>
      </w:tblCellMar>
    </w:tblPr>
    <w:tcPr>
      <w:tcBorders>
        <w:left w:val="nil"/>
        <w:right w:val="nil"/>
        <w:insideH w:val="nil"/>
        <w:insideV w:val="nil"/>
      </w:tcBorders>
      <w:shd w:val="clear" w:color="auto" w:fill="FDE4D0" w:themeFill="accent6" w:themeFillTint="3F"/>
    </w:tc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nil"/>
      <w:tblCellMar>
        <w:left w:w="0" w:type="dxa"/>
        <w:right w:w="0" w:type="dxa"/>
      </w:tblCellMar>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shd w:val="clear" w:color="auto" w:fill="FDE4D0" w:themeFill="accent6" w:themeFillTint="3F"/>
    </w:tc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thinThickThinLargeGap" w:sz="0" w:space="22" w:color="FF3A56" w:frame="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insideH w:val="nil"/>
          <w:insideV w:val="nil"/>
        </w:tcBorders>
        <w:shd w:val="clear" w:color="auto" w:fill="FDE4D0" w:themeFill="accent6" w:themeFillTint="3F"/>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nil"/>
      <w:tblCellMar>
        <w:left w:w="0" w:type="dxa"/>
        <w:right w:w="0" w:type="dxa"/>
      </w:tblCellMa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nil"/>
      <w:tblCellMar>
        <w:left w:w="0" w:type="dxa"/>
        <w:right w:w="0" w:type="dxa"/>
      </w:tblCellMa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nil"/>
      <w:tblCellMar>
        <w:left w:w="0" w:type="dxa"/>
        <w:right w:w="0" w:type="dxa"/>
      </w:tblCellMa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nil"/>
      <w:tblCellMar>
        <w:left w:w="0" w:type="dxa"/>
        <w:right w:w="0" w:type="dxa"/>
      </w:tblCellMa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nil"/>
      <w:tblCellMar>
        <w:left w:w="0" w:type="dxa"/>
        <w:right w:w="0" w:type="dxa"/>
      </w:tblCellMa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nil"/>
      <w:tblCellMar>
        <w:left w:w="0" w:type="dxa"/>
        <w:right w:w="0" w:type="dxa"/>
      </w:tblCellMa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nil"/>
      <w:tblCellMar>
        <w:left w:w="0" w:type="dxa"/>
        <w:right w:w="0" w:type="dxa"/>
      </w:tblCellMar>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shd w:val="clear" w:color="auto" w:fill="F79646" w:themeFill="accent6"/>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nil"/>
      <w:tblCellMar>
        <w:left w:w="0" w:type="dxa"/>
        <w:right w:w="0" w:type="dxa"/>
      </w:tblCellMar>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shd w:val="clear" w:color="auto" w:fill="F79646" w:themeFill="accent6"/>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shd w:val="clear" w:color="auto" w:fill="D3DFEE" w:themeFill="accent1" w:themeFillTint="3F"/>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nil"/>
      <w:tblCellMar>
        <w:left w:w="0" w:type="dxa"/>
        <w:right w:w="0" w:type="dxa"/>
      </w:tblCellMar>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shd w:val="clear" w:color="auto" w:fill="EFD3D2" w:themeFill="accent2" w:themeFillTint="3F"/>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nil"/>
      <w:tblCellMar>
        <w:left w:w="0" w:type="dxa"/>
        <w:right w:w="0" w:type="dxa"/>
      </w:tblCellMar>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shd w:val="clear" w:color="auto" w:fill="E6EED5" w:themeFill="accent3" w:themeFillTint="3F"/>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nil"/>
      <w:tblCellMar>
        <w:left w:w="0" w:type="dxa"/>
        <w:right w:w="0" w:type="dxa"/>
      </w:tblCellMar>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shd w:val="clear" w:color="auto" w:fill="DFD8E8" w:themeFill="accent4" w:themeFillTint="3F"/>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nil"/>
      <w:tblCellMar>
        <w:left w:w="0" w:type="dxa"/>
        <w:right w:w="0" w:type="dxa"/>
      </w:tblCellMar>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shd w:val="clear" w:color="auto" w:fill="D2EAF1" w:themeFill="accent5" w:themeFillTint="3F"/>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nil"/>
      <w:tblCellMar>
        <w:left w:w="0" w:type="dxa"/>
        <w:right w:w="0" w:type="dxa"/>
      </w:tblCellMar>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shd w:val="clear" w:color="auto" w:fill="FDE4D0" w:themeFill="accent6" w:themeFillTint="3F"/>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nil"/>
      <w:tblCellMar>
        <w:left w:w="0" w:type="dxa"/>
        <w:right w:w="0" w:type="dxa"/>
      </w:tblCellMar>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tcBorders>
          <w:top w:val="none" w:sz="89" w:space="19" w:color="FFFF3A"/>
        </w:tcBorders>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nil"/>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left w:w="0" w:type="dxa"/>
        <w:right w:w="0" w:type="dxa"/>
      </w:tblCellMar>
    </w:tblPr>
    <w:tcPr>
      <w:tcBorders>
        <w:insideH w:val="nil"/>
        <w:insideV w:val="nil"/>
      </w:tcBorders>
      <w:shd w:val="clear" w:color="auto" w:fill="C0C0C0" w:themeFill="text1" w:themeFillTint="3F"/>
    </w:tc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nil"/>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left w:w="0" w:type="dxa"/>
        <w:right w:w="0" w:type="dxa"/>
      </w:tblCellMar>
    </w:tblPr>
    <w:tcPr>
      <w:tcBorders>
        <w:insideH w:val="nil"/>
        <w:insideV w:val="nil"/>
      </w:tcBorders>
      <w:shd w:val="clear" w:color="auto" w:fill="D3DFEE" w:themeFill="accent1" w:themeFillTint="3F"/>
    </w:tc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nil"/>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left w:w="0" w:type="dxa"/>
        <w:right w:w="0" w:type="dxa"/>
      </w:tblCellMar>
    </w:tblPr>
    <w:tcPr>
      <w:tcBorders>
        <w:insideH w:val="nil"/>
        <w:insideV w:val="nil"/>
      </w:tcBorders>
      <w:shd w:val="clear" w:color="auto" w:fill="EFD3D2" w:themeFill="accent2" w:themeFillTint="3F"/>
    </w:tc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nil"/>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left w:w="0" w:type="dxa"/>
        <w:right w:w="0" w:type="dxa"/>
      </w:tblCellMar>
    </w:tblPr>
    <w:tcPr>
      <w:tcBorders>
        <w:insideH w:val="nil"/>
        <w:insideV w:val="nil"/>
      </w:tcBorders>
      <w:shd w:val="clear" w:color="auto" w:fill="E6EED5" w:themeFill="accent3" w:themeFillTint="3F"/>
    </w:tc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nil"/>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left w:w="0" w:type="dxa"/>
        <w:right w:w="0" w:type="dxa"/>
      </w:tblCellMar>
    </w:tblPr>
    <w:tcPr>
      <w:tcBorders>
        <w:insideH w:val="nil"/>
        <w:insideV w:val="nil"/>
      </w:tcBorders>
      <w:shd w:val="clear" w:color="auto" w:fill="DFD8E8" w:themeFill="accent4" w:themeFillTint="3F"/>
    </w:tc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nil"/>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left w:w="0" w:type="dxa"/>
        <w:right w:w="0" w:type="dxa"/>
      </w:tblCellMar>
    </w:tblPr>
    <w:tcPr>
      <w:tcBorders>
        <w:insideH w:val="nil"/>
        <w:insideV w:val="nil"/>
      </w:tcBorders>
      <w:shd w:val="clear" w:color="auto" w:fill="D2EAF1" w:themeFill="accent5" w:themeFillTint="3F"/>
    </w:tc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nil"/>
      <w:tblCellMar>
        <w:left w:w="0" w:type="dxa"/>
        <w:right w:w="0" w:type="dxa"/>
      </w:tblCellMar>
    </w:tblPr>
    <w:tcPr>
      <w:tcBorders>
        <w:insideH w:val="nil"/>
        <w:insideV w:val="nil"/>
      </w:tcBorders>
      <w:shd w:val="clear" w:color="auto" w:fill="D8D8D8" w:themeFill="background1" w:themeFillShade="D8"/>
    </w:tc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2Horz">
      <w:tblPr/>
      <w:tcPr>
        <w:tcBorders>
          <w:insideH w:val="nil"/>
          <w:insideV w:val="nil"/>
        </w:tcBorders>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nil"/>
      <w:tblCellMar>
        <w:left w:w="0" w:type="dxa"/>
        <w:right w:w="0" w:type="dxa"/>
      </w:tblCellMar>
    </w:tblPr>
    <w:tcPr>
      <w:tcBorders>
        <w:insideH w:val="nil"/>
        <w:insideV w:val="nil"/>
      </w:tcBorders>
      <w:shd w:val="clear" w:color="auto" w:fill="D8D8D8" w:themeFill="background1" w:themeFillShade="D8"/>
    </w:tc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2Horz">
      <w:tblPr/>
      <w:tcPr>
        <w:tcBorders>
          <w:insideH w:val="nil"/>
          <w:insideV w:val="nil"/>
        </w:tcBorders>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nil"/>
      <w:tblCellMar>
        <w:left w:w="0" w:type="dxa"/>
        <w:right w:w="0" w:type="dxa"/>
      </w:tblCellMar>
    </w:tblPr>
    <w:tcPr>
      <w:shd w:val="clear" w:color="auto" w:fill="D8D8D8" w:themeFill="background1" w:themeFillShade="D8"/>
    </w:tc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nil"/>
      <w:tblCellMar>
        <w:left w:w="0" w:type="dxa"/>
        <w:right w:w="0" w:type="dxa"/>
      </w:tblCellMar>
    </w:tblPr>
    <w:tcPr>
      <w:shd w:val="clear" w:color="auto" w:fill="D8D8D8" w:themeFill="background1" w:themeFillShade="D8"/>
    </w:tc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nil"/>
      <w:tblCellMar>
        <w:left w:w="0" w:type="dxa"/>
        <w:right w:w="0" w:type="dxa"/>
      </w:tblCellMar>
    </w:tblPr>
    <w:tcPr>
      <w:shd w:val="clear" w:color="auto" w:fill="D8D8D8" w:themeFill="background1" w:themeFillShade="D8"/>
    </w:tc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nil"/>
      <w:tblCellMar>
        <w:left w:w="0" w:type="dxa"/>
        <w:right w:w="0" w:type="dxa"/>
      </w:tblCellMar>
    </w:tblPr>
    <w:tcPr>
      <w:shd w:val="clear" w:color="auto" w:fill="D8D8D8" w:themeFill="background1" w:themeFillShade="D8"/>
    </w:tc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nil"/>
      <w:tblCellMar>
        <w:left w:w="0" w:type="dxa"/>
        <w:right w:w="0" w:type="dxa"/>
      </w:tblCellMar>
    </w:tblPr>
    <w:tcPr>
      <w:shd w:val="clear" w:color="auto" w:fill="D8D8D8" w:themeFill="background1" w:themeFillShade="D8"/>
    </w:tc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C0C0C0" w:themeFill="text1" w:themeFillTint="3F"/>
    </w:tc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Pr/>
      <w:tcPr>
        <w:tcBorders>
          <w:top w:val="nil"/>
          <w:left w:val="nil"/>
          <w:bottom w:val="single" w:sz="18" w:space="0" w:color="auto"/>
          <w:right w:val="nil"/>
          <w:insideH w:val="nil"/>
          <w:insideV w:val="nil"/>
        </w:tcBorders>
      </w:tcPr>
    </w:tblStylePr>
    <w:tblStylePr w:type="lastCol">
      <w:rPr>
        <w:b/>
        <w:bCs/>
      </w:rPr>
      <w:tblPr/>
      <w:tcPr>
        <w:tcBorders>
          <w:top w:val="single" w:sz="8" w:space="0" w:color="000000" w:themeColor="text1"/>
          <w:left w:val="nil"/>
          <w:bottom w:val="single" w:sz="8" w:space="0" w:color="000000" w:themeColor="text1"/>
          <w:right w:val="nil"/>
          <w:insideH w:val="nil"/>
          <w:insideV w:val="nil"/>
        </w:tcBorders>
        <w:shd w:val="clear" w:color="auto" w:fill="4BACC6" w:themeFill="accent5"/>
      </w:tcPr>
    </w:tblStylePr>
    <w:tblStylePr w:type="band1Vert">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D3DFEE" w:themeFill="accent1" w:themeFillTint="3F"/>
    </w:tc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Pr/>
      <w:tcPr>
        <w:tcBorders>
          <w:top w:val="nil"/>
          <w:left w:val="nil"/>
          <w:bottom w:val="single" w:sz="18" w:space="0" w:color="auto"/>
          <w:right w:val="nil"/>
        </w:tcBorders>
      </w:tc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FD3D2" w:themeFill="accent2" w:themeFillTint="3F"/>
    </w:tc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Pr/>
      <w:tcPr>
        <w:tcBorders>
          <w:top w:val="nil"/>
          <w:left w:val="nil"/>
          <w:bottom w:val="single" w:sz="18" w:space="0" w:color="auto"/>
          <w:right w:val="nil"/>
        </w:tcBorders>
      </w:tc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6EED5" w:themeFill="accent3" w:themeFillTint="3F"/>
    </w:tc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Pr/>
      <w:tcPr>
        <w:tcBorders>
          <w:top w:val="nil"/>
          <w:left w:val="nil"/>
          <w:bottom w:val="single" w:sz="18" w:space="0" w:color="auto"/>
          <w:right w:val="nil"/>
        </w:tcBorders>
      </w:tc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DFD8E8" w:themeFill="accent4" w:themeFillTint="3F"/>
    </w:tc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Pr/>
      <w:tcPr>
        <w:tcBorders>
          <w:top w:val="nil"/>
          <w:left w:val="nil"/>
          <w:bottom w:val="single" w:sz="18" w:space="0" w:color="auto"/>
          <w:right w:val="nil"/>
        </w:tcBorders>
      </w:tc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D2EAF1" w:themeFill="accent5" w:themeFillTint="3F"/>
    </w:tc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Pr/>
      <w:tcPr>
        <w:tcBorders>
          <w:top w:val="nil"/>
          <w:left w:val="nil"/>
          <w:bottom w:val="single" w:sz="18" w:space="0" w:color="auto"/>
          <w:right w:val="nil"/>
        </w:tcBorders>
      </w:tc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FDE4D0" w:themeFill="accent6" w:themeFillTint="3F"/>
    </w:tc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Pr/>
      <w:tcPr>
        <w:tcBorders>
          <w:top w:val="nil"/>
          <w:left w:val="nil"/>
          <w:bottom w:val="single" w:sz="18" w:space="0" w:color="auto"/>
          <w:right w:val="nil"/>
        </w:tcBorders>
      </w:tc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top w:val="none" w:sz="1" w:space="0" w:color="301E28"/>
        <w:bottom w:val="single" w:sz="8" w:space="0" w:color="F79646" w:themeColor="accent6"/>
      </w:tcBorders>
    </w:tc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top w:val="nil"/>
        <w:bottom w:val="nil"/>
        <w:insideH w:val="nil"/>
        <w:insideV w:val="nil"/>
      </w:tcBorders>
      <w:shd w:val="clear" w:color="auto" w:fill="D3DFEE" w:themeFill="accent1" w:themeFillTint="3F"/>
    </w:tc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top w:val="nil"/>
        <w:bottom w:val="nil"/>
        <w:right w:val="nil"/>
        <w:insideH w:val="nil"/>
        <w:insideV w:val="nil"/>
      </w:tcBorders>
      <w:shd w:val="clear" w:color="auto" w:fill="EFD3D2" w:themeFill="accent2" w:themeFillTint="3F"/>
    </w:tc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top w:val="nil"/>
        <w:bottom w:val="nil"/>
        <w:right w:val="nil"/>
        <w:insideH w:val="nil"/>
        <w:insideV w:val="nil"/>
      </w:tcBorders>
      <w:shd w:val="clear" w:color="auto" w:fill="E6EED5" w:themeFill="accent3" w:themeFillTint="3F"/>
    </w:tc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top w:val="nil"/>
        <w:bottom w:val="nil"/>
        <w:right w:val="nil"/>
        <w:insideH w:val="nil"/>
        <w:insideV w:val="nil"/>
      </w:tcBorders>
      <w:shd w:val="clear" w:color="auto" w:fill="DFD8E8" w:themeFill="accent4" w:themeFillTint="3F"/>
    </w:tc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top w:val="nil"/>
        <w:bottom w:val="nil"/>
        <w:right w:val="nil"/>
        <w:insideH w:val="nil"/>
        <w:insideV w:val="nil"/>
      </w:tcBorders>
      <w:shd w:val="clear" w:color="auto" w:fill="D2EAF1" w:themeFill="accent5" w:themeFillTint="3F"/>
    </w:tc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top w:val="nil"/>
        <w:bottom w:val="nil"/>
        <w:right w:val="nil"/>
        <w:insideH w:val="nil"/>
        <w:insideV w:val="nil"/>
      </w:tcBorders>
      <w:shd w:val="clear" w:color="auto" w:fill="FDE4D0" w:themeFill="accent6" w:themeFillTint="3F"/>
    </w:tc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nil"/>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left w:w="0" w:type="dxa"/>
        <w:right w:w="0" w:type="dxa"/>
      </w:tblCellMar>
    </w:tblPr>
    <w:tcPr>
      <w:tcBorders>
        <w:right w:val="nil"/>
        <w:insideH w:val="nil"/>
        <w:insideV w:val="nil"/>
      </w:tcBorders>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Pr/>
      <w:tcPr>
        <w:tcBorders>
          <w:top w:val="nil"/>
          <w:left w:val="single" w:sz="8" w:space="0" w:color="4BACC6" w:themeColor="accent5"/>
          <w:bottom w:val="nil"/>
          <w:right w:val="nil"/>
          <w:insideH w:val="nil"/>
          <w:insideV w:val="nil"/>
        </w:tcBorders>
        <w:shd w:val="clear" w:color="auto" w:fill="FFFF3A"/>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nil"/>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left w:w="0" w:type="dxa"/>
        <w:right w:w="0" w:type="dxa"/>
      </w:tblCellMar>
    </w:tblPr>
    <w:tcPr>
      <w:tcBorders>
        <w:top w:val="nil"/>
        <w:left w:val="single" w:sz="8" w:space="0" w:color="4BACC6" w:themeColor="accent5"/>
        <w:bottom w:val="nil"/>
        <w:right w:val="nil"/>
        <w:insideH w:val="nil"/>
        <w:insideV w:val="nil"/>
      </w:tcBorders>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nil"/>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left w:w="0" w:type="dxa"/>
        <w:right w:w="0" w:type="dxa"/>
      </w:tblCellMar>
    </w:tblPr>
    <w:tcPr>
      <w:tcBorders>
        <w:top w:val="nil"/>
        <w:left w:val="single" w:sz="8" w:space="0" w:color="4BACC6" w:themeColor="accent5"/>
        <w:bottom w:val="nil"/>
        <w:right w:val="nil"/>
        <w:insideH w:val="nil"/>
        <w:insideV w:val="nil"/>
      </w:tcBorders>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nil"/>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left w:w="0" w:type="dxa"/>
        <w:right w:w="0" w:type="dxa"/>
      </w:tblCellMar>
    </w:tblPr>
    <w:tcPr>
      <w:tcBorders>
        <w:top w:val="nil"/>
        <w:left w:val="single" w:sz="8" w:space="0" w:color="4BACC6" w:themeColor="accent5"/>
        <w:bottom w:val="nil"/>
        <w:right w:val="nil"/>
        <w:insideH w:val="nil"/>
        <w:insideV w:val="nil"/>
      </w:tcBorders>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nil"/>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left w:w="0" w:type="dxa"/>
        <w:right w:w="0" w:type="dxa"/>
      </w:tblCellMar>
    </w:tblPr>
    <w:tcPr>
      <w:tcBorders>
        <w:top w:val="nil"/>
        <w:left w:val="single" w:sz="8" w:space="0" w:color="4BACC6" w:themeColor="accent5"/>
        <w:bottom w:val="nil"/>
        <w:right w:val="nil"/>
        <w:insideH w:val="nil"/>
        <w:insideV w:val="nil"/>
      </w:tcBorders>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nil"/>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left w:w="0" w:type="dxa"/>
        <w:right w:w="0" w:type="dxa"/>
      </w:tblCellMar>
    </w:tblPr>
    <w:tcPr>
      <w:tcBorders>
        <w:top w:val="nil"/>
        <w:left w:val="single" w:sz="8" w:space="0" w:color="4BACC6" w:themeColor="accent5"/>
        <w:bottom w:val="nil"/>
        <w:right w:val="nil"/>
        <w:insideH w:val="nil"/>
        <w:insideV w:val="nil"/>
      </w:tcBorders>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nil"/>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left w:w="0" w:type="dxa"/>
        <w:right w:w="0" w:type="dxa"/>
      </w:tblCellMar>
    </w:tblPr>
    <w:tcPr>
      <w:tcBorders>
        <w:top w:val="nil"/>
        <w:left w:val="single" w:sz="8" w:space="0" w:color="4BACC6" w:themeColor="accent5"/>
        <w:bottom w:val="nil"/>
        <w:right w:val="nil"/>
        <w:insideH w:val="nil"/>
        <w:insideV w:val="nil"/>
      </w:tcBorders>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Borders>
        <w:top w:val="single" w:sz="8" w:space="0" w:color="F9B074" w:themeColor="accent6" w:themeTint="BF"/>
        <w:left w:val="single" w:sz="8" w:space="0" w:color="F9B074" w:themeColor="accent6" w:themeTint="BF"/>
        <w:bottom w:val="none" w:sz="164" w:space="11" w:color="BFFF00" w:shadow="1" w:frame="1"/>
        <w:right w:val="none" w:sz="164" w:space="11" w:color="000000" w:shadow="1" w:frame="1"/>
        <w:insideH w:val="none" w:sz="164" w:space="11" w:color="000000" w:shadow="1" w:frame="1"/>
        <w:insideV w:val="starsShadowed" w:sz="16" w:space="4" w:color="000000"/>
      </w:tblBorders>
      <w:tblCellMar>
        <w:left w:w="0" w:type="dxa"/>
        <w:right w:w="0" w:type="dxa"/>
      </w:tblCellMar>
    </w:tblPr>
    <w:tcPr>
      <w:tcBorders>
        <w:top w:val="nil"/>
        <w:left w:val="nil"/>
        <w:bottom w:val="nil"/>
        <w:right w:val="nil"/>
        <w:insideH w:val="single" w:sz="6" w:space="0" w:color="000000" w:themeColor="text1"/>
        <w:insideV w:val="single" w:sz="6" w:space="0" w:color="000000" w:themeColor="text1"/>
      </w:tcBorders>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right w:val="nil"/>
        <w:insideH w:val="single" w:sz="6" w:space="0" w:color="4F81BD" w:themeColor="accent1"/>
        <w:insideV w:val="single" w:sz="6" w:space="0" w:color="4F81BD" w:themeColor="accent1"/>
      </w:tcBorders>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insideH w:val="single" w:sz="6" w:space="0" w:color="C0504D" w:themeColor="accent2"/>
        <w:insideV w:val="single" w:sz="6" w:space="0" w:color="C0504D" w:themeColor="accent2"/>
      </w:tcBorders>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insideH w:val="single" w:sz="6" w:space="0" w:color="9BBB59" w:themeColor="accent3"/>
        <w:insideV w:val="single" w:sz="6" w:space="0" w:color="9BBB59" w:themeColor="accent3"/>
      </w:tcBorders>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insideH w:val="single" w:sz="6" w:space="0" w:color="8064A2" w:themeColor="accent4"/>
        <w:insideV w:val="single" w:sz="6" w:space="0" w:color="8064A2" w:themeColor="accent4"/>
      </w:tcBorders>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insideH w:val="single" w:sz="6" w:space="0" w:color="4BACC6" w:themeColor="accent5"/>
        <w:insideV w:val="single" w:sz="6" w:space="0" w:color="4BACC6" w:themeColor="accent5"/>
      </w:tcBorders>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nil"/>
      <w:tblCellMar>
        <w:left w:w="0" w:type="dxa"/>
        <w:right w:w="0" w:type="dxa"/>
      </w:tblCellMar>
    </w:tblPr>
    <w:tcPr>
      <w:tcBorders>
        <w:insideH w:val="single" w:sz="6" w:space="0" w:color="F79646" w:themeColor="accent6"/>
        <w:insideV w:val="single" w:sz="6" w:space="0" w:color="F79646" w:themeColor="accent6"/>
      </w:tcBorders>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nil"/>
      <w:tblCellMar>
        <w:left w:w="0" w:type="dxa"/>
        <w:right w:w="0" w:type="dxa"/>
      </w:tblCellMar>
    </w:tblPr>
    <w:tcPr>
      <w:tcBorders>
        <w:left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top w:val="nil"/>
          <w:left w:val="single" w:sz="8" w:space="0" w:color="FFFFFF" w:themeColor="background1"/>
          <w:bottom w:val="nil"/>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nwCell">
      <w:tblPr/>
      <w:tcPr>
        <w:shd w:val="clear" w:color="auto" w:fill="FFFFFF" w:themeFill="background1"/>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nil"/>
      <w:tblCellMar>
        <w:left w:w="0" w:type="dxa"/>
        <w:right w:w="0" w:type="dxa"/>
      </w:tblCellMar>
    </w:tblPr>
    <w:tcPr>
      <w:tcBorders>
        <w:left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nil"/>
      <w:tblCellMar>
        <w:left w:w="0" w:type="dxa"/>
        <w:right w:w="0" w:type="dxa"/>
      </w:tblCellMa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nil"/>
      <w:tblCellMar>
        <w:left w:w="0" w:type="dxa"/>
        <w:right w:w="0" w:type="dxa"/>
      </w:tblCellMa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nil"/>
      <w:tblCellMar>
        <w:left w:w="0" w:type="dxa"/>
        <w:right w:w="0" w:type="dxa"/>
      </w:tblCellMa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nil"/>
      <w:tblCellMar>
        <w:left w:w="0" w:type="dxa"/>
        <w:right w:w="0" w:type="dxa"/>
      </w:tblCellMa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nil"/>
      <w:tblCellMar>
        <w:left w:w="0" w:type="dxa"/>
        <w:right w:w="0" w:type="dxa"/>
      </w:tblCellMa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nil"/>
      <w:tblCellMar>
        <w:left w:w="0" w:type="dxa"/>
        <w:right w:w="0" w:type="dxa"/>
      </w:tblCellMa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nil"/>
      <w:tblCellMar>
        <w:left w:w="0" w:type="dxa"/>
        <w:right w:w="0" w:type="dxa"/>
      </w:tblCellMa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nil"/>
      <w:tblCellMar>
        <w:left w:w="0" w:type="dxa"/>
        <w:right w:w="0"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nil"/>
      <w:tblCellMar>
        <w:left w:w="0" w:type="dxa"/>
        <w:right w:w="0"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nil"/>
      <w:tblCellMar>
        <w:left w:w="0" w:type="dxa"/>
        <w:right w:w="0"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nil"/>
      <w:tblCellMar>
        <w:left w:w="0" w:type="dxa"/>
        <w:right w:w="0"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nil"/>
      <w:tblCellMar>
        <w:left w:w="0" w:type="dxa"/>
        <w:right w:w="0"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left w:val="nil"/>
          <w:bottom w:val="nil"/>
          <w:right w:val="nil"/>
          <w:insideH w:val="nil"/>
          <w:insideV w:val="nil"/>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999999" w:themeFill="text1" w:themeFillTint="66"/>
      </w:tcPr>
    </w:tblStylePr>
    <w:tblStylePr w:type="neCell">
      <w:rPr>
        <w:color w:val="000000" w:themeColor="text1"/>
      </w:rPr>
    </w:tblStylePr>
    <w:tblStylePr w:type="nwCell">
      <w:rPr>
        <w:color w:val="000000" w:themeColor="text1"/>
      </w:rPr>
      <w:tblPr/>
      <w:tcPr>
        <w:tcBorders>
          <w:top w:val="nil"/>
          <w:left w:val="nil"/>
          <w:bottom w:val="nil"/>
          <w:right w:val="nil"/>
          <w:insideH w:val="nil"/>
          <w:insideV w:val="nil"/>
        </w:tcBorders>
      </w:tc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nil"/>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left w:w="0" w:type="dxa"/>
        <w:right w:w="0" w:type="dxa"/>
      </w:tblCellMar>
    </w:tblPr>
    <w:tcPr>
      <w:tcBorders>
        <w:left w:val="nil"/>
        <w:right w:val="nil"/>
        <w:insideH w:val="nil"/>
      </w:tcBorders>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nil"/>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left w:w="0" w:type="dxa"/>
        <w:right w:w="0" w:type="dxa"/>
      </w:tblCellMar>
    </w:tblPr>
    <w:tcPr>
      <w:tcBorders>
        <w:left w:val="nil"/>
        <w:right w:val="nil"/>
        <w:insideH w:val="nil"/>
      </w:tcBorders>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nil"/>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left w:w="0" w:type="dxa"/>
        <w:right w:w="0" w:type="dxa"/>
      </w:tblCellMar>
    </w:tblPr>
    <w:tcPr>
      <w:tcBorders>
        <w:left w:val="nil"/>
        <w:right w:val="nil"/>
        <w:insideH w:val="nil"/>
      </w:tcBorders>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nil"/>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left w:w="0" w:type="dxa"/>
        <w:right w:w="0" w:type="dxa"/>
      </w:tblCellMar>
    </w:tblPr>
    <w:tcPr>
      <w:tcBorders>
        <w:left w:val="nil"/>
        <w:right w:val="nil"/>
        <w:insideH w:val="nil"/>
      </w:tcBorders>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nil"/>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left w:w="0" w:type="dxa"/>
        <w:right w:w="0" w:type="dxa"/>
      </w:tblCellMar>
    </w:tblPr>
    <w:tcPr>
      <w:tcBorders>
        <w:left w:val="nil"/>
        <w:right w:val="nil"/>
        <w:insideH w:val="nil"/>
      </w:tcBorders>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nil"/>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left w:w="0" w:type="dxa"/>
        <w:right w:w="0" w:type="dxa"/>
      </w:tblCellMar>
    </w:tblPr>
    <w:tcPr>
      <w:tcBorders>
        <w:left w:val="nil"/>
        <w:right w:val="nil"/>
        <w:insideH w:val="nil"/>
      </w:tcBorders>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Pr/>
      <w:tcPr>
        <w:tcBorders>
          <w:top w:val="nil"/>
          <w:left w:val="nil"/>
          <w:bottom w:val="nil"/>
          <w:right w:val="nil"/>
        </w:tcBorders>
      </w:tcPr>
    </w:tblStylePr>
    <w:tblStylePr w:type="band1Vert">
      <w:tblPr/>
      <w:tcPr>
        <w:shd w:val="clear" w:color="auto" w:fill="FBD4B4" w:themeFill="accent6" w:themeFillTint="66"/>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Pr/>
      <w:tcPr>
        <w:tcBorders>
          <w:top w:val="nil"/>
        </w:tcBorders>
      </w:tcPr>
    </w:tblStylePr>
    <w:tblStylePr w:type="band1Vert">
      <w:tblPr/>
      <w:tcPr>
        <w:shd w:val="clear" w:color="auto" w:fill="FBD4B4" w:themeFill="accent6" w:themeFillTint="66"/>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Pr/>
      <w:tcPr>
        <w:tcBorders>
          <w:top w:val="nil"/>
        </w:tcBorders>
      </w:tcPr>
    </w:tblStylePr>
    <w:tblStylePr w:type="band1Vert">
      <w:tblPr/>
      <w:tcPr>
        <w:shd w:val="clear" w:color="auto" w:fill="FBD4B4" w:themeFill="accent6" w:themeFillTint="66"/>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Pr/>
      <w:tcPr>
        <w:tcBorders>
          <w:top w:val="nil"/>
        </w:tcBorders>
      </w:tcPr>
    </w:tblStylePr>
    <w:tblStylePr w:type="band1Vert">
      <w:tblPr/>
      <w:tcPr>
        <w:shd w:val="clear" w:color="auto" w:fill="FBD4B4" w:themeFill="accent6" w:themeFillTint="66"/>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Pr/>
      <w:tcPr>
        <w:tcBorders>
          <w:top w:val="nil"/>
        </w:tcBorders>
      </w:tcPr>
    </w:tblStylePr>
    <w:tblStylePr w:type="band1Vert">
      <w:tblPr/>
      <w:tcPr>
        <w:shd w:val="clear" w:color="auto" w:fill="FBD4B4" w:themeFill="accent6" w:themeFillTint="66"/>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Pr/>
      <w:tcPr>
        <w:tcBorders>
          <w:top w:val="nil"/>
        </w:tcBorders>
      </w:tcPr>
    </w:tblStylePr>
    <w:tblStylePr w:type="band1Vert">
      <w:tblPr/>
      <w:tcPr>
        <w:shd w:val="clear" w:color="auto" w:fill="FBD4B4" w:themeFill="accent6" w:themeFillTint="66"/>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Pr/>
      <w:tcPr>
        <w:tcBorders>
          <w:top w:val="nil"/>
        </w:tcBorders>
      </w:tcPr>
    </w:tblStylePr>
    <w:tblStylePr w:type="band1Vert">
      <w:tblPr/>
      <w:tcPr>
        <w:shd w:val="clear" w:color="auto" w:fill="FBD4B4" w:themeFill="accent6" w:themeFillTint="66"/>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tcBorders>
          <w:top w:val="nil"/>
        </w:tcBorders>
        <w:shd w:val="clear" w:color="auto" w:fill="000000" w:themeFill="text1" w:themeFillShade="BF"/>
      </w:tcPr>
    </w:tblStylePr>
    <w:tblStylePr w:type="band1Vert">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tcBorders>
          <w:top w:val="nil"/>
        </w:tcBorders>
        <w:shd w:val="clear" w:color="auto" w:fill="365F91" w:themeFill="accent1" w:themeFillShade="BF"/>
      </w:tcPr>
    </w:tblStylePr>
    <w:tblStylePr w:type="band1Vert">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tcBorders>
          <w:top w:val="nil"/>
        </w:tcBorders>
        <w:shd w:val="clear" w:color="auto" w:fill="943634" w:themeFill="accent2" w:themeFillShade="BF"/>
      </w:tcPr>
    </w:tblStylePr>
    <w:tblStylePr w:type="band1Vert">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tcBorders>
          <w:top w:val="nil"/>
        </w:tcBorders>
        <w:shd w:val="clear" w:color="auto" w:fill="76923C" w:themeFill="accent3" w:themeFillShade="BF"/>
      </w:tcPr>
    </w:tblStylePr>
    <w:tblStylePr w:type="band1Vert">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tcBorders>
          <w:top w:val="nil"/>
        </w:tcBorders>
        <w:shd w:val="clear" w:color="auto" w:fill="5F497A" w:themeFill="accent4" w:themeFillShade="BF"/>
      </w:tcPr>
    </w:tblStylePr>
    <w:tblStylePr w:type="band1Vert">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tcBorders>
          <w:top w:val="nil"/>
        </w:tcBorders>
        <w:shd w:val="clear" w:color="auto" w:fill="31849B" w:themeFill="accent5" w:themeFillShade="BF"/>
      </w:tcPr>
    </w:tblStylePr>
    <w:tblStylePr w:type="band1Vert">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nil"/>
      <w:tblCellMar>
        <w:left w:w="0" w:type="dxa"/>
        <w:right w:w="0"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tcBorders>
          <w:top w:val="nil"/>
        </w:tcBorders>
        <w:shd w:val="clear" w:color="auto" w:fill="E36C0A" w:themeFill="accent6" w:themeFillShade="BF"/>
      </w:tcPr>
    </w:tblStylePr>
    <w:tblStylePr w:type="band1Vert">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562</Words>
  <Characters>3206</Characters>
  <Application>Microsoft Office Word</Application>
  <DocSecurity>4</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3761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Sania Javed</cp:lastModifiedBy>
  <cp:revision>8</cp:revision>
  <dcterms:created xsi:type="dcterms:W3CDTF">2013-12-24T17:15:00Z</dcterms:created>
  <dcterms:modified xsi:type="dcterms:W3CDTF">2025-11-19T00:40:00Z</dcterms:modified>
  <cp:category/>
</cp:coreProperties>
</file>